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EE6AEC6">
      <w:pPr>
        <w:pStyle w:val="15"/>
        <w:tabs>
          <w:tab w:val="right" w:pos="9639"/>
        </w:tabs>
        <w:spacing w:after="0"/>
        <w:rPr>
          <w:b/>
          <w:i/>
          <w:sz w:val="28"/>
        </w:rPr>
      </w:pPr>
      <w:r>
        <w:rPr>
          <w:b/>
          <w:sz w:val="24"/>
        </w:rPr>
        <w:t>3GPP TSG-SA WG4 Meeting #134</w:t>
      </w:r>
      <w:r>
        <w:rPr>
          <w:b/>
          <w:i/>
          <w:sz w:val="28"/>
        </w:rPr>
        <w:tab/>
      </w:r>
      <w:r>
        <w:rPr>
          <w:rFonts w:hint="eastAsia"/>
          <w:b/>
          <w:sz w:val="24"/>
        </w:rPr>
        <w:t>S4-251861</w:t>
      </w:r>
    </w:p>
    <w:p w14:paraId="32CBBA92">
      <w:pPr>
        <w:pStyle w:val="15"/>
        <w:outlineLvl w:val="0"/>
        <w:rPr>
          <w:b/>
          <w:sz w:val="24"/>
        </w:rPr>
      </w:pPr>
      <w:r>
        <w:rPr>
          <w:b/>
          <w:sz w:val="24"/>
        </w:rPr>
        <w:t>17 – 21 November 2025, Dallas, Texas, USA</w:t>
      </w:r>
      <w:r>
        <w:rPr>
          <w:b/>
          <w:sz w:val="24"/>
        </w:rPr>
        <w:tab/>
      </w:r>
      <w:r>
        <w:rPr>
          <w:b/>
          <w:sz w:val="24"/>
        </w:rPr>
        <w:tab/>
      </w:r>
      <w:r>
        <w:rPr>
          <w:b/>
          <w:sz w:val="24"/>
        </w:rPr>
        <w:tab/>
      </w:r>
      <w:r>
        <w:rPr>
          <w:b/>
          <w:sz w:val="24"/>
        </w:rPr>
        <w:tab/>
      </w:r>
    </w:p>
    <w:p w14:paraId="2347D320">
      <w:pPr>
        <w:pStyle w:val="15"/>
        <w:outlineLvl w:val="0"/>
        <w:rPr>
          <w:b/>
          <w:sz w:val="24"/>
          <w:lang w:val="en-US"/>
        </w:rPr>
      </w:pPr>
      <w:r>
        <w:rPr>
          <w:b/>
          <w:sz w:val="24"/>
          <w:lang w:val="en-US"/>
        </w:rPr>
        <w:t xml:space="preserve"> </w:t>
      </w:r>
      <w:r>
        <w:rPr>
          <w:b/>
          <w:sz w:val="24"/>
          <w:lang w:val="en-US"/>
        </w:rPr>
        <w:tab/>
      </w:r>
      <w:r>
        <w:rPr>
          <w:b/>
          <w:sz w:val="24"/>
          <w:lang w:val="en-US"/>
        </w:rPr>
        <w:tab/>
      </w:r>
      <w:r>
        <w:rPr>
          <w:b/>
          <w:sz w:val="24"/>
          <w:lang w:val="en-US"/>
        </w:rPr>
        <w:tab/>
      </w:r>
      <w:r>
        <w:rPr>
          <w:b/>
          <w:sz w:val="24"/>
          <w:lang w:val="en-US"/>
        </w:rPr>
        <w:tab/>
      </w:r>
      <w:r>
        <w:rPr>
          <w:b/>
          <w:sz w:val="24"/>
          <w:lang w:val="en-US"/>
        </w:rPr>
        <w:tab/>
      </w:r>
      <w:r>
        <w:rPr>
          <w:b/>
          <w:sz w:val="24"/>
          <w:lang w:val="en-US"/>
        </w:rPr>
        <w:tab/>
      </w:r>
      <w:r>
        <w:rPr>
          <w:b/>
          <w:sz w:val="24"/>
          <w:lang w:val="en-US"/>
        </w:rPr>
        <w:tab/>
      </w:r>
      <w:r>
        <w:rPr>
          <w:b/>
          <w:sz w:val="24"/>
          <w:lang w:val="en-US"/>
        </w:rPr>
        <w:tab/>
      </w:r>
      <w:r>
        <w:rPr>
          <w:b/>
          <w:sz w:val="24"/>
          <w:lang w:val="en-US"/>
        </w:rPr>
        <w:tab/>
      </w:r>
    </w:p>
    <w:p w14:paraId="157B317E">
      <w:pPr>
        <w:tabs>
          <w:tab w:val="left" w:pos="2127"/>
        </w:tabs>
        <w:ind w:left="2127" w:hanging="2127"/>
        <w:jc w:val="both"/>
        <w:outlineLvl w:val="0"/>
        <w:rPr>
          <w:rFonts w:hint="default" w:ascii="Arial" w:hAnsi="Arial" w:eastAsia="Batang" w:cs="Arial"/>
          <w:b/>
          <w:sz w:val="24"/>
          <w:szCs w:val="24"/>
          <w:lang w:val="en-US" w:eastAsia="zh-CN"/>
        </w:rPr>
      </w:pPr>
      <w:r>
        <w:rPr>
          <w:rFonts w:ascii="Arial" w:hAnsi="Arial" w:eastAsia="Batang"/>
          <w:b/>
          <w:sz w:val="24"/>
          <w:szCs w:val="24"/>
          <w:lang w:val="it-IT" w:eastAsia="zh-CN"/>
        </w:rPr>
        <w:t>Source:</w:t>
      </w:r>
      <w:r>
        <w:rPr>
          <w:rFonts w:ascii="Arial" w:hAnsi="Arial" w:eastAsia="Batang"/>
          <w:b/>
          <w:sz w:val="24"/>
          <w:szCs w:val="24"/>
          <w:lang w:val="it-IT" w:eastAsia="zh-CN"/>
        </w:rPr>
        <w:tab/>
      </w:r>
      <w:r>
        <w:rPr>
          <w:rFonts w:hint="eastAsia" w:ascii="Arial" w:hAnsi="Arial" w:eastAsia="Batang" w:cs="Arial"/>
          <w:b/>
          <w:bCs/>
          <w:sz w:val="24"/>
          <w:szCs w:val="24"/>
          <w:lang w:val="en-US" w:eastAsia="zh-CN"/>
        </w:rPr>
        <w:t>Pengcheng Laboratory, Huawei, OPPO, vivo, ZTE, China Telecom, Hisilicon</w:t>
      </w:r>
    </w:p>
    <w:p w14:paraId="32267176">
      <w:pPr>
        <w:tabs>
          <w:tab w:val="left" w:pos="2127"/>
        </w:tabs>
        <w:ind w:left="2127" w:hanging="2127"/>
        <w:outlineLvl w:val="0"/>
        <w:rPr>
          <w:rFonts w:ascii="Arial" w:hAnsi="Arial" w:cs="Arial" w:eastAsiaTheme="minorEastAsia"/>
          <w:b/>
          <w:sz w:val="24"/>
          <w:szCs w:val="24"/>
          <w:lang w:val="en-US" w:eastAsia="zh-CN"/>
        </w:rPr>
      </w:pPr>
      <w:r>
        <w:rPr>
          <w:rFonts w:ascii="Arial" w:hAnsi="Arial" w:eastAsia="Batang" w:cs="Arial"/>
          <w:b/>
          <w:sz w:val="24"/>
          <w:szCs w:val="24"/>
          <w:lang w:eastAsia="zh-CN"/>
        </w:rPr>
        <w:t>Title:</w:t>
      </w:r>
      <w:r>
        <w:rPr>
          <w:rFonts w:ascii="Arial" w:hAnsi="Arial" w:eastAsia="Batang" w:cs="Arial"/>
          <w:b/>
          <w:sz w:val="24"/>
          <w:szCs w:val="24"/>
          <w:lang w:eastAsia="zh-CN"/>
        </w:rPr>
        <w:tab/>
      </w:r>
      <w:r>
        <w:rPr>
          <w:rFonts w:hint="eastAsia" w:ascii="Arial" w:hAnsi="Arial" w:cs="Arial" w:eastAsiaTheme="minorEastAsia"/>
          <w:b/>
          <w:sz w:val="24"/>
          <w:szCs w:val="24"/>
          <w:lang w:val="en-US" w:eastAsia="zh-CN"/>
        </w:rPr>
        <w:t>New SID on Ultra-Low Latency Video Communication        Characterization and Evaluation</w:t>
      </w:r>
    </w:p>
    <w:p w14:paraId="07DB88AC">
      <w:pPr>
        <w:tabs>
          <w:tab w:val="left" w:pos="2127"/>
        </w:tabs>
        <w:ind w:left="2127" w:hanging="2127"/>
        <w:jc w:val="both"/>
        <w:outlineLvl w:val="0"/>
        <w:rPr>
          <w:rFonts w:ascii="Arial" w:hAnsi="Arial" w:eastAsiaTheme="minorEastAsia"/>
          <w:b/>
          <w:sz w:val="24"/>
          <w:szCs w:val="24"/>
          <w:lang w:val="en-US" w:eastAsia="zh-CN"/>
        </w:rPr>
      </w:pPr>
      <w:r>
        <w:rPr>
          <w:rFonts w:ascii="Arial" w:hAnsi="Arial" w:eastAsia="Batang"/>
          <w:b/>
          <w:sz w:val="24"/>
          <w:szCs w:val="24"/>
          <w:lang w:val="en-US" w:eastAsia="zh-CN"/>
        </w:rPr>
        <w:t>Document for:</w:t>
      </w:r>
      <w:r>
        <w:rPr>
          <w:rFonts w:ascii="Arial" w:hAnsi="Arial" w:eastAsia="Batang"/>
          <w:b/>
          <w:sz w:val="24"/>
          <w:szCs w:val="24"/>
          <w:lang w:val="en-US" w:eastAsia="zh-CN"/>
        </w:rPr>
        <w:tab/>
      </w:r>
      <w:r>
        <w:rPr>
          <w:rFonts w:hint="eastAsia" w:ascii="Arial" w:hAnsi="Arial" w:eastAsiaTheme="minorEastAsia"/>
          <w:b/>
          <w:sz w:val="24"/>
          <w:szCs w:val="24"/>
          <w:lang w:val="en-US" w:eastAsia="zh-CN"/>
        </w:rPr>
        <w:t>Agreement</w:t>
      </w:r>
    </w:p>
    <w:p w14:paraId="0C16E8EF">
      <w:pPr>
        <w:tabs>
          <w:tab w:val="left" w:pos="2127"/>
        </w:tabs>
        <w:ind w:left="2127" w:hanging="2127"/>
        <w:jc w:val="both"/>
        <w:outlineLvl w:val="0"/>
        <w:rPr>
          <w:rFonts w:hint="default" w:ascii="Arial" w:hAnsi="Arial" w:eastAsia="Batang"/>
          <w:b/>
          <w:sz w:val="24"/>
          <w:szCs w:val="24"/>
          <w:lang w:val="en-US" w:eastAsia="zh-CN"/>
        </w:rPr>
      </w:pPr>
      <w:r>
        <w:rPr>
          <w:rFonts w:ascii="Arial" w:hAnsi="Arial" w:eastAsia="Batang"/>
          <w:b/>
          <w:sz w:val="24"/>
          <w:szCs w:val="24"/>
          <w:lang w:val="en-US" w:eastAsia="zh-CN"/>
        </w:rPr>
        <w:t>Agenda Item:</w:t>
      </w:r>
      <w:r>
        <w:rPr>
          <w:rFonts w:ascii="Arial" w:hAnsi="Arial" w:eastAsia="Batang"/>
          <w:b/>
          <w:sz w:val="24"/>
          <w:szCs w:val="24"/>
          <w:lang w:val="en-US" w:eastAsia="zh-CN"/>
        </w:rPr>
        <w:tab/>
      </w:r>
      <w:r>
        <w:rPr>
          <w:rFonts w:hint="eastAsia" w:ascii="Arial" w:hAnsi="Arial" w:eastAsia="Batang"/>
          <w:b/>
          <w:sz w:val="24"/>
          <w:szCs w:val="24"/>
          <w:lang w:val="en-US" w:eastAsia="zh-CN"/>
        </w:rPr>
        <w:t>17.2</w:t>
      </w:r>
    </w:p>
    <w:p w14:paraId="65F2C002">
      <w:pPr>
        <w:rPr>
          <w:rFonts w:eastAsia="Batang"/>
          <w:lang w:val="en-US" w:eastAsia="zh-CN"/>
        </w:rPr>
      </w:pPr>
    </w:p>
    <w:p w14:paraId="2CBD0CDB">
      <w:pPr>
        <w:pStyle w:val="5"/>
        <w:pBdr>
          <w:top w:val="single" w:color="auto" w:sz="12" w:space="3"/>
        </w:pBdr>
        <w:overflowPunct w:val="0"/>
        <w:autoSpaceDE w:val="0"/>
        <w:autoSpaceDN w:val="0"/>
        <w:adjustRightInd w:val="0"/>
        <w:spacing w:before="240" w:after="180"/>
        <w:ind w:left="2835" w:hanging="2835"/>
        <w:jc w:val="center"/>
        <w:textAlignment w:val="baseline"/>
        <w:rPr>
          <w:color w:val="262626" w:themeColor="text1" w:themeTint="D9"/>
          <w14:textFill>
            <w14:solidFill>
              <w14:schemeClr w14:val="tx1">
                <w14:lumMod w14:val="85000"/>
                <w14:lumOff w14:val="15000"/>
              </w14:schemeClr>
            </w14:solidFill>
          </w14:textFill>
        </w:rPr>
      </w:pP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3GPP™ Work Item Description</w:t>
      </w:r>
    </w:p>
    <w:p w14:paraId="6BA2F842">
      <w:pPr>
        <w:jc w:val="center"/>
        <w:rPr>
          <w:rFonts w:cs="Arial"/>
        </w:rPr>
      </w:pPr>
      <w:r>
        <w:rPr>
          <w:rFonts w:cs="Arial"/>
        </w:rPr>
        <w:t xml:space="preserve">Information on Work Items can be found at </w:t>
      </w:r>
      <w:r>
        <w:fldChar w:fldCharType="begin"/>
      </w:r>
      <w:r>
        <w:instrText xml:space="preserve"> HYPERLINK "http://www.3gpp.org/Work-Items" </w:instrText>
      </w:r>
      <w:r>
        <w:fldChar w:fldCharType="separate"/>
      </w:r>
      <w:r>
        <w:rPr>
          <w:rFonts w:cs="Arial"/>
        </w:rPr>
        <w:t>http://www.3gpp.org/Work-Items</w:t>
      </w:r>
      <w:r>
        <w:rPr>
          <w:rFonts w:cs="Arial"/>
        </w:rPr>
        <w:fldChar w:fldCharType="end"/>
      </w:r>
      <w:r>
        <w:rPr>
          <w:rFonts w:cs="Arial"/>
        </w:rPr>
        <w:t xml:space="preserve"> </w:t>
      </w:r>
      <w:r>
        <w:rPr>
          <w:rFonts w:cs="Arial"/>
        </w:rPr>
        <w:br w:type="textWrapping"/>
      </w:r>
      <w:r>
        <w:t xml:space="preserve">See also the </w:t>
      </w:r>
      <w:r>
        <w:fldChar w:fldCharType="begin"/>
      </w:r>
      <w:r>
        <w:instrText xml:space="preserve"> HYPERLINK "http://www.3gpp.org/specifications-groups/working-procedures" </w:instrText>
      </w:r>
      <w:r>
        <w:fldChar w:fldCharType="separate"/>
      </w:r>
      <w:r>
        <w:t>3GPP Working Procedures</w:t>
      </w:r>
      <w:r>
        <w:fldChar w:fldCharType="end"/>
      </w:r>
      <w:r>
        <w:t xml:space="preserve">, article 39 and the TSG Working Methods in </w:t>
      </w:r>
      <w:r>
        <w:fldChar w:fldCharType="begin"/>
      </w:r>
      <w:r>
        <w:instrText xml:space="preserve"> HYPERLINK "http://www.3gpp.org/ftp/Specs/html-info/21900.htm" </w:instrText>
      </w:r>
      <w:r>
        <w:fldChar w:fldCharType="separate"/>
      </w:r>
      <w:r>
        <w:t>3GPP TR 21.900</w:t>
      </w:r>
      <w:r>
        <w:fldChar w:fldCharType="end"/>
      </w:r>
    </w:p>
    <w:p w14:paraId="661AFFD9">
      <w:pPr>
        <w:pStyle w:val="5"/>
        <w:pBdr>
          <w:top w:val="single" w:color="auto" w:sz="12" w:space="3"/>
        </w:pBdr>
        <w:overflowPunct w:val="0"/>
        <w:autoSpaceDE w:val="0"/>
        <w:autoSpaceDN w:val="0"/>
        <w:adjustRightInd w:val="0"/>
        <w:spacing w:before="240" w:after="180"/>
        <w:ind w:left="2835" w:hanging="2835"/>
        <w:textAlignment w:val="baseline"/>
        <w:rPr>
          <w:rFonts w:ascii="Arial" w:hAnsi="Arial" w:eastAsia="宋体" w:cs="Times New Roman"/>
          <w:color w:val="000000"/>
          <w:sz w:val="36"/>
          <w:szCs w:val="20"/>
          <w:lang w:val="en-US" w:eastAsia="zh-CN"/>
          <w14:textFill>
            <w14:solidFill>
              <w14:srgbClr w14:val="000000">
                <w14:lumMod w14:val="85000"/>
                <w14:lumOff w14:val="15000"/>
              </w14:srgbClr>
            </w14:solidFill>
          </w14:textFill>
        </w:rPr>
      </w:pP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 xml:space="preserve">Title: </w:t>
      </w:r>
      <w:r>
        <w:rPr>
          <w:rFonts w:hint="eastAsia" w:ascii="Arial" w:hAnsi="Arial" w:eastAsia="Times New Roman" w:cs="Times New Roman"/>
          <w:color w:val="000000"/>
          <w:sz w:val="36"/>
          <w:szCs w:val="20"/>
          <w:lang w:eastAsia="ja-JP"/>
          <w14:textFill>
            <w14:solidFill>
              <w14:srgbClr w14:val="000000">
                <w14:lumMod w14:val="85000"/>
                <w14:lumOff w14:val="15000"/>
              </w14:srgbClr>
            </w14:solidFill>
          </w14:textFill>
        </w:rPr>
        <w:t xml:space="preserve">Study on </w:t>
      </w:r>
      <w:r>
        <w:rPr>
          <w:rFonts w:hint="eastAsia" w:ascii="Arial" w:hAnsi="Arial" w:eastAsia="宋体" w:cs="Times New Roman"/>
          <w:color w:val="000000"/>
          <w:sz w:val="36"/>
          <w:szCs w:val="20"/>
          <w:lang w:val="en-US" w:eastAsia="zh-CN"/>
          <w14:textFill>
            <w14:solidFill>
              <w14:srgbClr w14:val="000000">
                <w14:lumMod w14:val="85000"/>
                <w14:lumOff w14:val="15000"/>
              </w14:srgbClr>
            </w14:solidFill>
          </w14:textFill>
        </w:rPr>
        <w:t>Ultra-Low Latency Video Communication Characterization and Evaluation</w:t>
      </w:r>
    </w:p>
    <w:p w14:paraId="34D61C0C">
      <w:pPr>
        <w:pStyle w:val="16"/>
      </w:pPr>
    </w:p>
    <w:p w14:paraId="14FEC7A3">
      <w:pPr>
        <w:pStyle w:val="5"/>
        <w:pBdr>
          <w:top w:val="single" w:color="auto" w:sz="12" w:space="3"/>
        </w:pBdr>
        <w:overflowPunct w:val="0"/>
        <w:autoSpaceDE w:val="0"/>
        <w:autoSpaceDN w:val="0"/>
        <w:adjustRightInd w:val="0"/>
        <w:spacing w:before="240" w:after="180"/>
        <w:ind w:left="2835" w:hanging="2835"/>
        <w:textAlignment w:val="baseline"/>
        <w:rPr>
          <w:rFonts w:hint="default" w:ascii="Arial" w:hAnsi="Arial" w:eastAsia="宋体" w:cs="Times New Roman"/>
          <w:color w:val="000000"/>
          <w:sz w:val="36"/>
          <w:szCs w:val="20"/>
          <w:lang w:val="en-US" w:eastAsia="zh-CN"/>
          <w14:textFill>
            <w14:solidFill>
              <w14:srgbClr w14:val="000000">
                <w14:lumMod w14:val="85000"/>
                <w14:lumOff w14:val="15000"/>
              </w14:srgbClr>
            </w14:solidFill>
          </w14:textFill>
        </w:rPr>
      </w:pPr>
      <w:r>
        <w:rPr>
          <w:rFonts w:ascii="Arial" w:hAnsi="Arial" w:eastAsia="Times New Roman" w:cs="Times New Roman"/>
          <w:color w:val="000000"/>
          <w:sz w:val="36"/>
          <w:szCs w:val="20"/>
          <w:lang w:val="en-US" w:eastAsia="ja-JP"/>
          <w14:textFill>
            <w14:solidFill>
              <w14:srgbClr w14:val="000000">
                <w14:lumMod w14:val="85000"/>
                <w14:lumOff w14:val="15000"/>
              </w14:srgbClr>
            </w14:solidFill>
          </w14:textFill>
        </w:rPr>
        <w:t>Acronym: FS_</w:t>
      </w:r>
      <w:r>
        <w:rPr>
          <w:rFonts w:hint="eastAsia" w:ascii="Arial" w:hAnsi="Arial" w:eastAsia="宋体" w:cs="Times New Roman"/>
          <w:color w:val="000000"/>
          <w:sz w:val="36"/>
          <w:szCs w:val="20"/>
          <w:lang w:val="en-US" w:eastAsia="zh-CN"/>
          <w14:textFill>
            <w14:solidFill>
              <w14:srgbClr w14:val="000000">
                <w14:lumMod w14:val="85000"/>
                <w14:lumOff w14:val="15000"/>
              </w14:srgbClr>
            </w14:solidFill>
          </w14:textFill>
        </w:rPr>
        <w:t>ULLV</w:t>
      </w:r>
    </w:p>
    <w:p w14:paraId="0D3D7270">
      <w:pPr>
        <w:pStyle w:val="16"/>
        <w:rPr>
          <w:lang w:val="en-US"/>
        </w:rPr>
      </w:pPr>
    </w:p>
    <w:p w14:paraId="095BEB56">
      <w:pPr>
        <w:pStyle w:val="5"/>
        <w:pBdr>
          <w:top w:val="single" w:color="auto" w:sz="12" w:space="3"/>
        </w:pBdr>
        <w:overflowPunct w:val="0"/>
        <w:autoSpaceDE w:val="0"/>
        <w:autoSpaceDN w:val="0"/>
        <w:adjustRightInd w:val="0"/>
        <w:spacing w:before="240" w:after="180"/>
        <w:ind w:left="2835" w:hanging="2835"/>
        <w:textAlignment w:val="baseline"/>
        <w:rPr>
          <w:rFonts w:ascii="Arial" w:hAnsi="Arial" w:cs="Times New Roman" w:eastAsiaTheme="minorEastAsia"/>
          <w:color w:val="000000"/>
          <w:sz w:val="36"/>
          <w:szCs w:val="20"/>
          <w:lang w:val="en-US" w:eastAsia="zh-CN"/>
          <w14:textFill>
            <w14:solidFill>
              <w14:srgbClr w14:val="000000">
                <w14:lumMod w14:val="85000"/>
                <w14:lumOff w14:val="15000"/>
              </w14:srgbClr>
            </w14:solidFill>
          </w14:textFill>
        </w:rPr>
      </w:pPr>
      <w:r>
        <w:rPr>
          <w:rFonts w:ascii="Arial" w:hAnsi="Arial" w:eastAsia="Times New Roman" w:cs="Times New Roman"/>
          <w:color w:val="000000"/>
          <w:sz w:val="36"/>
          <w:szCs w:val="20"/>
          <w:lang w:val="en-US" w:eastAsia="ja-JP"/>
          <w14:textFill>
            <w14:solidFill>
              <w14:srgbClr w14:val="000000">
                <w14:lumMod w14:val="85000"/>
                <w14:lumOff w14:val="15000"/>
              </w14:srgbClr>
            </w14:solidFill>
          </w14:textFill>
        </w:rPr>
        <w:t>Unique identifier:</w:t>
      </w:r>
      <w:r>
        <w:rPr>
          <w:rFonts w:ascii="Arial" w:hAnsi="Arial" w:eastAsia="Times New Roman" w:cs="Times New Roman"/>
          <w:color w:val="000000"/>
          <w:sz w:val="36"/>
          <w:szCs w:val="20"/>
          <w:lang w:val="en-US" w:eastAsia="ja-JP"/>
          <w14:textFill>
            <w14:solidFill>
              <w14:srgbClr w14:val="000000">
                <w14:lumMod w14:val="85000"/>
                <w14:lumOff w14:val="15000"/>
              </w14:srgbClr>
            </w14:solidFill>
          </w14:textFill>
        </w:rPr>
        <w:tab/>
      </w:r>
      <w:r>
        <w:rPr>
          <w:rFonts w:hint="eastAsia" w:ascii="Arial" w:hAnsi="Arial" w:cs="Times New Roman" w:eastAsiaTheme="minorEastAsia"/>
          <w:color w:val="000000"/>
          <w:sz w:val="36"/>
          <w:szCs w:val="20"/>
          <w:lang w:val="en-US" w:eastAsia="zh-CN"/>
          <w14:textFill>
            <w14:solidFill>
              <w14:srgbClr w14:val="000000">
                <w14:lumMod w14:val="85000"/>
                <w14:lumOff w14:val="15000"/>
              </w14:srgbClr>
            </w14:solidFill>
          </w14:textFill>
        </w:rPr>
        <w:t>XXXXXX</w:t>
      </w:r>
    </w:p>
    <w:p w14:paraId="26600202">
      <w:pPr>
        <w:pStyle w:val="16"/>
        <w:rPr>
          <w:lang w:val="en-US"/>
        </w:rPr>
      </w:pPr>
    </w:p>
    <w:p w14:paraId="4C39D04E">
      <w:pPr>
        <w:pStyle w:val="5"/>
        <w:pBdr>
          <w:top w:val="single" w:color="auto" w:sz="12" w:space="3"/>
        </w:pBdr>
        <w:overflowPunct w:val="0"/>
        <w:autoSpaceDE w:val="0"/>
        <w:autoSpaceDN w:val="0"/>
        <w:adjustRightInd w:val="0"/>
        <w:spacing w:before="240" w:after="180"/>
        <w:ind w:left="2835" w:hanging="2835"/>
        <w:textAlignment w:val="baseline"/>
        <w:rPr>
          <w:rFonts w:ascii="Arial" w:hAnsi="Arial" w:cs="Times New Roman" w:eastAsiaTheme="minorEastAsia"/>
          <w:color w:val="000000"/>
          <w:sz w:val="36"/>
          <w:szCs w:val="20"/>
          <w:lang w:val="en-US" w:eastAsia="zh-CN"/>
          <w14:textFill>
            <w14:solidFill>
              <w14:srgbClr w14:val="000000">
                <w14:lumMod w14:val="85000"/>
                <w14:lumOff w14:val="15000"/>
              </w14:srgbClr>
            </w14:solidFill>
          </w14:textFill>
        </w:rPr>
      </w:pP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Potential target Release:</w:t>
      </w: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ab/>
      </w: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Rel-</w:t>
      </w:r>
      <w:r>
        <w:rPr>
          <w:rFonts w:hint="eastAsia" w:ascii="Arial" w:hAnsi="Arial" w:cs="Times New Roman" w:eastAsiaTheme="minorEastAsia"/>
          <w:color w:val="000000"/>
          <w:sz w:val="36"/>
          <w:szCs w:val="20"/>
          <w:lang w:eastAsia="zh-CN"/>
          <w14:textFill>
            <w14:solidFill>
              <w14:srgbClr w14:val="000000">
                <w14:lumMod w14:val="85000"/>
                <w14:lumOff w14:val="15000"/>
              </w14:srgbClr>
            </w14:solidFill>
          </w14:textFill>
        </w:rPr>
        <w:t>20</w:t>
      </w:r>
    </w:p>
    <w:p w14:paraId="60F92869">
      <w:pPr>
        <w:pStyle w:val="16"/>
      </w:pPr>
    </w:p>
    <w:p w14:paraId="51902972">
      <w:pPr>
        <w:pStyle w:val="2"/>
        <w:keepLines/>
        <w:pBdr>
          <w:top w:val="single" w:color="auto" w:sz="12" w:space="3"/>
        </w:pBdr>
        <w:overflowPunct w:val="0"/>
        <w:autoSpaceDE w:val="0"/>
        <w:autoSpaceDN w:val="0"/>
        <w:adjustRightInd w:val="0"/>
        <w:spacing w:before="240" w:after="180"/>
        <w:ind w:left="1134" w:right="0" w:hanging="1134"/>
        <w:textAlignment w:val="baseline"/>
        <w:rPr>
          <w:highlight w:val="yellow"/>
        </w:rPr>
      </w:pPr>
      <w:r>
        <w:rPr>
          <w:b w:val="0"/>
          <w:sz w:val="36"/>
          <w:lang w:eastAsia="ja-JP"/>
        </w:rPr>
        <w:t>1</w:t>
      </w:r>
      <w:r>
        <w:rPr>
          <w:b w:val="0"/>
          <w:sz w:val="36"/>
          <w:lang w:eastAsia="ja-JP"/>
        </w:rPr>
        <w:tab/>
      </w:r>
      <w:r>
        <w:rPr>
          <w:b w:val="0"/>
          <w:sz w:val="36"/>
          <w:lang w:eastAsia="ja-JP"/>
        </w:rPr>
        <w:t>Impacts</w:t>
      </w:r>
    </w:p>
    <w:tbl>
      <w:tblPr>
        <w:tblStyle w:val="9"/>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515"/>
        <w:gridCol w:w="1275"/>
        <w:gridCol w:w="1037"/>
        <w:gridCol w:w="850"/>
        <w:gridCol w:w="851"/>
        <w:gridCol w:w="1752"/>
      </w:tblGrid>
      <w:tr w14:paraId="3DAE108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bottom w:val="single" w:color="auto" w:sz="12" w:space="0"/>
              <w:right w:val="single" w:color="auto" w:sz="12" w:space="0"/>
            </w:tcBorders>
            <w:shd w:val="clear" w:color="auto" w:fill="E0E0E0"/>
          </w:tcPr>
          <w:p w14:paraId="2292EA6F">
            <w:pPr>
              <w:pStyle w:val="17"/>
            </w:pPr>
            <w:r>
              <w:t>Affects:</w:t>
            </w:r>
          </w:p>
        </w:tc>
        <w:tc>
          <w:tcPr>
            <w:tcW w:w="1275" w:type="dxa"/>
            <w:tcBorders>
              <w:left w:val="nil"/>
              <w:bottom w:val="single" w:color="auto" w:sz="12" w:space="0"/>
            </w:tcBorders>
            <w:shd w:val="clear" w:color="auto" w:fill="E0E0E0"/>
          </w:tcPr>
          <w:p w14:paraId="79386D00">
            <w:pPr>
              <w:pStyle w:val="17"/>
              <w:rPr>
                <w:rFonts w:eastAsia="宋体"/>
                <w:lang w:val="en-US" w:eastAsia="zh-CN"/>
              </w:rPr>
            </w:pPr>
            <w:r>
              <w:t>UICC apps</w:t>
            </w:r>
          </w:p>
        </w:tc>
        <w:tc>
          <w:tcPr>
            <w:tcW w:w="1037" w:type="dxa"/>
            <w:tcBorders>
              <w:bottom w:val="single" w:color="auto" w:sz="12" w:space="0"/>
            </w:tcBorders>
            <w:shd w:val="clear" w:color="auto" w:fill="E0E0E0"/>
          </w:tcPr>
          <w:p w14:paraId="04BAA08D">
            <w:pPr>
              <w:pStyle w:val="17"/>
              <w:rPr>
                <w:rFonts w:eastAsia="宋体"/>
                <w:lang w:val="en-US" w:eastAsia="zh-CN"/>
              </w:rPr>
            </w:pPr>
            <w:r>
              <w:t>ME</w:t>
            </w:r>
          </w:p>
        </w:tc>
        <w:tc>
          <w:tcPr>
            <w:tcW w:w="850" w:type="dxa"/>
            <w:tcBorders>
              <w:bottom w:val="single" w:color="auto" w:sz="12" w:space="0"/>
            </w:tcBorders>
            <w:shd w:val="clear" w:color="auto" w:fill="E0E0E0"/>
          </w:tcPr>
          <w:p w14:paraId="06ADE4F8">
            <w:pPr>
              <w:pStyle w:val="17"/>
              <w:rPr>
                <w:rFonts w:eastAsia="宋体"/>
                <w:lang w:val="en-US" w:eastAsia="zh-CN"/>
              </w:rPr>
            </w:pPr>
            <w:r>
              <w:t>AN</w:t>
            </w:r>
          </w:p>
        </w:tc>
        <w:tc>
          <w:tcPr>
            <w:tcW w:w="851" w:type="dxa"/>
            <w:tcBorders>
              <w:bottom w:val="single" w:color="auto" w:sz="12" w:space="0"/>
            </w:tcBorders>
            <w:shd w:val="clear" w:color="auto" w:fill="E0E0E0"/>
          </w:tcPr>
          <w:p w14:paraId="5835A3DB">
            <w:pPr>
              <w:pStyle w:val="17"/>
              <w:rPr>
                <w:rFonts w:eastAsia="宋体"/>
                <w:lang w:val="en-US" w:eastAsia="zh-CN"/>
              </w:rPr>
            </w:pPr>
            <w:r>
              <w:t>CN</w:t>
            </w:r>
          </w:p>
        </w:tc>
        <w:tc>
          <w:tcPr>
            <w:tcW w:w="1752" w:type="dxa"/>
            <w:tcBorders>
              <w:bottom w:val="single" w:color="auto" w:sz="12" w:space="0"/>
            </w:tcBorders>
            <w:shd w:val="clear" w:color="auto" w:fill="E0E0E0"/>
          </w:tcPr>
          <w:p w14:paraId="1CDBF761">
            <w:pPr>
              <w:pStyle w:val="17"/>
            </w:pPr>
            <w:r>
              <w:t>Others (specify)</w:t>
            </w:r>
          </w:p>
        </w:tc>
      </w:tr>
      <w:tr w14:paraId="2CF861B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top w:val="nil"/>
              <w:right w:val="single" w:color="auto" w:sz="12" w:space="0"/>
            </w:tcBorders>
          </w:tcPr>
          <w:p w14:paraId="59BC6E58">
            <w:pPr>
              <w:pStyle w:val="17"/>
            </w:pPr>
            <w:r>
              <w:t>Yes</w:t>
            </w:r>
          </w:p>
        </w:tc>
        <w:tc>
          <w:tcPr>
            <w:tcW w:w="1275" w:type="dxa"/>
            <w:tcBorders>
              <w:top w:val="nil"/>
              <w:left w:val="nil"/>
            </w:tcBorders>
          </w:tcPr>
          <w:p w14:paraId="2CE2105E">
            <w:pPr>
              <w:pStyle w:val="18"/>
            </w:pPr>
          </w:p>
        </w:tc>
        <w:tc>
          <w:tcPr>
            <w:tcW w:w="1037" w:type="dxa"/>
            <w:tcBorders>
              <w:top w:val="nil"/>
            </w:tcBorders>
          </w:tcPr>
          <w:p w14:paraId="779ABD49">
            <w:pPr>
              <w:pStyle w:val="18"/>
            </w:pPr>
            <w:r>
              <w:t>X</w:t>
            </w:r>
          </w:p>
        </w:tc>
        <w:tc>
          <w:tcPr>
            <w:tcW w:w="850" w:type="dxa"/>
            <w:tcBorders>
              <w:top w:val="nil"/>
            </w:tcBorders>
          </w:tcPr>
          <w:p w14:paraId="065CA33E">
            <w:pPr>
              <w:pStyle w:val="18"/>
            </w:pPr>
          </w:p>
        </w:tc>
        <w:tc>
          <w:tcPr>
            <w:tcW w:w="851" w:type="dxa"/>
            <w:tcBorders>
              <w:top w:val="nil"/>
            </w:tcBorders>
          </w:tcPr>
          <w:p w14:paraId="2AEF2F9B">
            <w:pPr>
              <w:pStyle w:val="18"/>
            </w:pPr>
            <w:r>
              <w:t>X</w:t>
            </w:r>
          </w:p>
        </w:tc>
        <w:tc>
          <w:tcPr>
            <w:tcW w:w="1752" w:type="dxa"/>
            <w:tcBorders>
              <w:top w:val="nil"/>
            </w:tcBorders>
          </w:tcPr>
          <w:p w14:paraId="35021BFC">
            <w:pPr>
              <w:pStyle w:val="18"/>
            </w:pPr>
          </w:p>
        </w:tc>
      </w:tr>
      <w:tr w14:paraId="0BD81D5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right w:val="single" w:color="auto" w:sz="12" w:space="0"/>
            </w:tcBorders>
          </w:tcPr>
          <w:p w14:paraId="4FCAB600">
            <w:pPr>
              <w:pStyle w:val="17"/>
            </w:pPr>
            <w:r>
              <w:t>No</w:t>
            </w:r>
          </w:p>
        </w:tc>
        <w:tc>
          <w:tcPr>
            <w:tcW w:w="1275" w:type="dxa"/>
            <w:tcBorders>
              <w:left w:val="nil"/>
            </w:tcBorders>
          </w:tcPr>
          <w:p w14:paraId="2EB50122">
            <w:pPr>
              <w:pStyle w:val="18"/>
            </w:pPr>
            <w:r>
              <w:t>X</w:t>
            </w:r>
          </w:p>
        </w:tc>
        <w:tc>
          <w:tcPr>
            <w:tcW w:w="1037" w:type="dxa"/>
          </w:tcPr>
          <w:p w14:paraId="70F934BD">
            <w:pPr>
              <w:pStyle w:val="18"/>
            </w:pPr>
          </w:p>
        </w:tc>
        <w:tc>
          <w:tcPr>
            <w:tcW w:w="850" w:type="dxa"/>
          </w:tcPr>
          <w:p w14:paraId="23692A20">
            <w:pPr>
              <w:pStyle w:val="18"/>
            </w:pPr>
            <w:r>
              <w:t>X</w:t>
            </w:r>
          </w:p>
        </w:tc>
        <w:tc>
          <w:tcPr>
            <w:tcW w:w="851" w:type="dxa"/>
          </w:tcPr>
          <w:p w14:paraId="1481E405">
            <w:pPr>
              <w:pStyle w:val="18"/>
            </w:pPr>
          </w:p>
        </w:tc>
        <w:tc>
          <w:tcPr>
            <w:tcW w:w="1752" w:type="dxa"/>
          </w:tcPr>
          <w:p w14:paraId="561557DA">
            <w:pPr>
              <w:pStyle w:val="18"/>
            </w:pPr>
            <w:r>
              <w:t>X</w:t>
            </w:r>
          </w:p>
        </w:tc>
      </w:tr>
      <w:tr w14:paraId="727A1B4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right w:val="single" w:color="auto" w:sz="12" w:space="0"/>
            </w:tcBorders>
          </w:tcPr>
          <w:p w14:paraId="7CEA4F98">
            <w:pPr>
              <w:pStyle w:val="17"/>
            </w:pPr>
            <w:r>
              <w:t>Don't know</w:t>
            </w:r>
          </w:p>
        </w:tc>
        <w:tc>
          <w:tcPr>
            <w:tcW w:w="1275" w:type="dxa"/>
            <w:tcBorders>
              <w:left w:val="nil"/>
            </w:tcBorders>
          </w:tcPr>
          <w:p w14:paraId="43FC74E0">
            <w:pPr>
              <w:pStyle w:val="18"/>
            </w:pPr>
          </w:p>
        </w:tc>
        <w:tc>
          <w:tcPr>
            <w:tcW w:w="1037" w:type="dxa"/>
          </w:tcPr>
          <w:p w14:paraId="471C9C8D">
            <w:pPr>
              <w:pStyle w:val="18"/>
            </w:pPr>
          </w:p>
        </w:tc>
        <w:tc>
          <w:tcPr>
            <w:tcW w:w="850" w:type="dxa"/>
          </w:tcPr>
          <w:p w14:paraId="2FAEABA2">
            <w:pPr>
              <w:pStyle w:val="18"/>
            </w:pPr>
          </w:p>
        </w:tc>
        <w:tc>
          <w:tcPr>
            <w:tcW w:w="851" w:type="dxa"/>
          </w:tcPr>
          <w:p w14:paraId="5AFB3A98">
            <w:pPr>
              <w:pStyle w:val="18"/>
            </w:pPr>
          </w:p>
        </w:tc>
        <w:tc>
          <w:tcPr>
            <w:tcW w:w="1752" w:type="dxa"/>
          </w:tcPr>
          <w:p w14:paraId="7303C3C4">
            <w:pPr>
              <w:pStyle w:val="18"/>
            </w:pPr>
          </w:p>
        </w:tc>
      </w:tr>
    </w:tbl>
    <w:p w14:paraId="51757458"/>
    <w:p w14:paraId="21FD300F">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2</w:t>
      </w:r>
      <w:r>
        <w:rPr>
          <w:b w:val="0"/>
          <w:sz w:val="36"/>
          <w:lang w:eastAsia="ja-JP"/>
        </w:rPr>
        <w:tab/>
      </w:r>
      <w:r>
        <w:rPr>
          <w:b w:val="0"/>
          <w:sz w:val="36"/>
          <w:lang w:eastAsia="ja-JP"/>
        </w:rPr>
        <w:t>Classification of the Work Item and linked work items</w:t>
      </w:r>
    </w:p>
    <w:p w14:paraId="09296BFF">
      <w:pPr>
        <w:pStyle w:val="3"/>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2.1</w:t>
      </w:r>
      <w:r>
        <w:rPr>
          <w:b w:val="0"/>
          <w:sz w:val="32"/>
          <w:lang w:eastAsia="ja-JP"/>
        </w:rPr>
        <w:tab/>
      </w:r>
      <w:r>
        <w:rPr>
          <w:b w:val="0"/>
          <w:sz w:val="32"/>
          <w:lang w:eastAsia="ja-JP"/>
        </w:rPr>
        <w:t>Primary classification</w:t>
      </w:r>
    </w:p>
    <w:p w14:paraId="1520C020">
      <w:pPr>
        <w:pStyle w:val="4"/>
      </w:pPr>
      <w:r>
        <w:t>This work item is a …</w:t>
      </w:r>
    </w:p>
    <w:tbl>
      <w:tblPr>
        <w:tblStyle w:val="9"/>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452"/>
        <w:gridCol w:w="2917"/>
      </w:tblGrid>
      <w:tr w14:paraId="701138D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14:paraId="24773EBA">
            <w:pPr>
              <w:pStyle w:val="18"/>
            </w:pPr>
            <w:r>
              <w:t>X</w:t>
            </w:r>
          </w:p>
        </w:tc>
        <w:tc>
          <w:tcPr>
            <w:tcW w:w="2917" w:type="dxa"/>
            <w:shd w:val="clear" w:color="auto" w:fill="E0E0E0"/>
          </w:tcPr>
          <w:p w14:paraId="0DAE3AC4">
            <w:pPr>
              <w:pStyle w:val="17"/>
              <w:ind w:right="-99"/>
              <w:jc w:val="left"/>
              <w:rPr>
                <w:b w:val="0"/>
                <w:bCs/>
                <w:color w:val="0000FF"/>
              </w:rPr>
            </w:pPr>
            <w:r>
              <w:rPr>
                <w:b w:val="0"/>
                <w:bCs/>
                <w:color w:val="0000FF"/>
                <w:sz w:val="20"/>
              </w:rPr>
              <w:t xml:space="preserve">Study </w:t>
            </w:r>
          </w:p>
        </w:tc>
      </w:tr>
      <w:tr w14:paraId="45C8096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14:paraId="5FBE3618">
            <w:pPr>
              <w:pStyle w:val="18"/>
            </w:pPr>
          </w:p>
        </w:tc>
        <w:tc>
          <w:tcPr>
            <w:tcW w:w="2917" w:type="dxa"/>
            <w:shd w:val="clear" w:color="auto" w:fill="E0E0E0"/>
          </w:tcPr>
          <w:p w14:paraId="1F2E1428">
            <w:pPr>
              <w:pStyle w:val="17"/>
              <w:ind w:right="-99"/>
              <w:jc w:val="left"/>
              <w:rPr>
                <w:b w:val="0"/>
                <w:bCs/>
                <w:color w:val="auto"/>
              </w:rPr>
            </w:pPr>
            <w:r>
              <w:rPr>
                <w:b w:val="0"/>
                <w:bCs/>
                <w:color w:val="auto"/>
                <w:sz w:val="20"/>
              </w:rPr>
              <w:t>Normative – Stage 1</w:t>
            </w:r>
          </w:p>
        </w:tc>
      </w:tr>
      <w:tr w14:paraId="1D21BE2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14:paraId="261DFAE8">
            <w:pPr>
              <w:pStyle w:val="18"/>
            </w:pPr>
          </w:p>
        </w:tc>
        <w:tc>
          <w:tcPr>
            <w:tcW w:w="2917" w:type="dxa"/>
            <w:shd w:val="clear" w:color="auto" w:fill="E0E0E0"/>
          </w:tcPr>
          <w:p w14:paraId="672F5020">
            <w:pPr>
              <w:pStyle w:val="17"/>
              <w:ind w:right="-99"/>
              <w:jc w:val="left"/>
              <w:rPr>
                <w:b w:val="0"/>
                <w:bCs/>
                <w:color w:val="auto"/>
              </w:rPr>
            </w:pPr>
            <w:r>
              <w:rPr>
                <w:b w:val="0"/>
                <w:bCs/>
                <w:color w:val="auto"/>
                <w:sz w:val="20"/>
              </w:rPr>
              <w:t>Normative – Stage 2</w:t>
            </w:r>
          </w:p>
        </w:tc>
      </w:tr>
      <w:tr w14:paraId="6144167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14:paraId="3288D8E7">
            <w:pPr>
              <w:pStyle w:val="18"/>
            </w:pPr>
          </w:p>
        </w:tc>
        <w:tc>
          <w:tcPr>
            <w:tcW w:w="2917" w:type="dxa"/>
            <w:shd w:val="clear" w:color="auto" w:fill="E0E0E0"/>
          </w:tcPr>
          <w:p w14:paraId="46F5DDA0">
            <w:pPr>
              <w:pStyle w:val="17"/>
              <w:ind w:right="-99"/>
              <w:jc w:val="left"/>
              <w:rPr>
                <w:b w:val="0"/>
                <w:bCs/>
                <w:color w:val="auto"/>
              </w:rPr>
            </w:pPr>
            <w:r>
              <w:rPr>
                <w:b w:val="0"/>
                <w:bCs/>
                <w:color w:val="auto"/>
                <w:sz w:val="20"/>
              </w:rPr>
              <w:t>Normative – Stage 3</w:t>
            </w:r>
          </w:p>
        </w:tc>
      </w:tr>
      <w:tr w14:paraId="47C882C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14:paraId="0C1DECA8">
            <w:pPr>
              <w:pStyle w:val="18"/>
            </w:pPr>
          </w:p>
        </w:tc>
        <w:tc>
          <w:tcPr>
            <w:tcW w:w="2917" w:type="dxa"/>
            <w:shd w:val="clear" w:color="auto" w:fill="E0E0E0"/>
          </w:tcPr>
          <w:p w14:paraId="730CA951">
            <w:pPr>
              <w:pStyle w:val="17"/>
              <w:ind w:right="-99"/>
              <w:jc w:val="left"/>
              <w:rPr>
                <w:b w:val="0"/>
                <w:bCs/>
                <w:color w:val="auto"/>
              </w:rPr>
            </w:pPr>
            <w:r>
              <w:rPr>
                <w:b w:val="0"/>
                <w:bCs/>
                <w:color w:val="auto"/>
                <w:sz w:val="20"/>
              </w:rPr>
              <w:t>Normative – Other*</w:t>
            </w:r>
          </w:p>
        </w:tc>
      </w:tr>
    </w:tbl>
    <w:p w14:paraId="724E2452">
      <w:pPr>
        <w:pStyle w:val="3"/>
        <w:keepLines/>
        <w:overflowPunct w:val="0"/>
        <w:autoSpaceDE w:val="0"/>
        <w:autoSpaceDN w:val="0"/>
        <w:adjustRightInd w:val="0"/>
        <w:spacing w:before="180" w:after="180"/>
        <w:ind w:left="1134" w:right="0" w:hanging="1134"/>
        <w:textAlignment w:val="baseline"/>
      </w:pPr>
      <w:r>
        <w:rPr>
          <w:b w:val="0"/>
          <w:sz w:val="32"/>
          <w:lang w:eastAsia="ja-JP"/>
        </w:rPr>
        <w:t>2.2</w:t>
      </w:r>
      <w:r>
        <w:rPr>
          <w:b w:val="0"/>
          <w:sz w:val="32"/>
          <w:lang w:eastAsia="ja-JP"/>
        </w:rPr>
        <w:tab/>
      </w:r>
      <w:r>
        <w:rPr>
          <w:b w:val="0"/>
          <w:sz w:val="32"/>
          <w:lang w:eastAsia="ja-JP"/>
        </w:rPr>
        <w:t>Parent Work Item</w:t>
      </w:r>
    </w:p>
    <w:tbl>
      <w:tblPr>
        <w:tblStyle w:val="9"/>
        <w:tblW w:w="5000" w:type="pct"/>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autofit"/>
        <w:tblCellMar>
          <w:top w:w="0" w:type="dxa"/>
          <w:left w:w="108" w:type="dxa"/>
          <w:bottom w:w="0" w:type="dxa"/>
          <w:right w:w="108" w:type="dxa"/>
        </w:tblCellMar>
      </w:tblPr>
      <w:tblGrid>
        <w:gridCol w:w="1320"/>
        <w:gridCol w:w="1007"/>
        <w:gridCol w:w="1163"/>
        <w:gridCol w:w="6364"/>
      </w:tblGrid>
      <w:tr w14:paraId="7D8EA8D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5000" w:type="pct"/>
            <w:gridSpan w:val="4"/>
            <w:shd w:val="clear" w:color="auto" w:fill="E0E0E0"/>
          </w:tcPr>
          <w:p w14:paraId="3AD44CAF">
            <w:pPr>
              <w:pStyle w:val="17"/>
              <w:ind w:right="-99"/>
              <w:jc w:val="left"/>
            </w:pPr>
            <w:r>
              <w:t xml:space="preserve">Parent Work / Study Items </w:t>
            </w:r>
          </w:p>
        </w:tc>
      </w:tr>
      <w:tr w14:paraId="2AC3D2C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670" w:type="pct"/>
            <w:shd w:val="clear" w:color="auto" w:fill="E0E0E0"/>
          </w:tcPr>
          <w:p w14:paraId="64EF528F">
            <w:pPr>
              <w:pStyle w:val="17"/>
              <w:ind w:right="-99"/>
              <w:jc w:val="left"/>
            </w:pPr>
            <w:r>
              <w:t>Acronym</w:t>
            </w:r>
          </w:p>
        </w:tc>
        <w:tc>
          <w:tcPr>
            <w:tcW w:w="511" w:type="pct"/>
            <w:shd w:val="clear" w:color="auto" w:fill="E0E0E0"/>
          </w:tcPr>
          <w:p w14:paraId="4C3F22DF">
            <w:pPr>
              <w:pStyle w:val="17"/>
              <w:ind w:right="-99"/>
              <w:jc w:val="left"/>
            </w:pPr>
            <w:r>
              <w:t>Working Group</w:t>
            </w:r>
          </w:p>
        </w:tc>
        <w:tc>
          <w:tcPr>
            <w:tcW w:w="590" w:type="pct"/>
            <w:shd w:val="clear" w:color="auto" w:fill="E0E0E0"/>
          </w:tcPr>
          <w:p w14:paraId="2D29A692">
            <w:pPr>
              <w:pStyle w:val="17"/>
              <w:ind w:right="-99"/>
              <w:jc w:val="left"/>
            </w:pPr>
            <w:r>
              <w:t>Unique ID</w:t>
            </w:r>
          </w:p>
        </w:tc>
        <w:tc>
          <w:tcPr>
            <w:tcW w:w="3227" w:type="pct"/>
            <w:shd w:val="clear" w:color="auto" w:fill="E0E0E0"/>
          </w:tcPr>
          <w:p w14:paraId="31E7F58C">
            <w:pPr>
              <w:pStyle w:val="17"/>
              <w:ind w:right="-99"/>
              <w:jc w:val="left"/>
            </w:pPr>
            <w:r>
              <w:t>Title (as in 3GPP Work Plan)</w:t>
            </w:r>
          </w:p>
        </w:tc>
      </w:tr>
      <w:tr w14:paraId="70AE0E5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670" w:type="pct"/>
          </w:tcPr>
          <w:p w14:paraId="3579EABE">
            <w:pPr>
              <w:pStyle w:val="16"/>
              <w:rPr>
                <w:rFonts w:eastAsiaTheme="minorEastAsia"/>
                <w:i w:val="0"/>
                <w:iCs/>
                <w:lang w:val="en-US" w:eastAsia="zh-CN"/>
              </w:rPr>
            </w:pPr>
          </w:p>
        </w:tc>
        <w:tc>
          <w:tcPr>
            <w:tcW w:w="511" w:type="pct"/>
          </w:tcPr>
          <w:p w14:paraId="212F5BAF">
            <w:pPr>
              <w:pStyle w:val="16"/>
              <w:rPr>
                <w:rFonts w:eastAsiaTheme="minorEastAsia"/>
                <w:i w:val="0"/>
                <w:iCs/>
                <w:lang w:eastAsia="zh-CN"/>
              </w:rPr>
            </w:pPr>
          </w:p>
        </w:tc>
        <w:tc>
          <w:tcPr>
            <w:tcW w:w="590" w:type="pct"/>
          </w:tcPr>
          <w:p w14:paraId="30DD0831">
            <w:pPr>
              <w:pStyle w:val="16"/>
              <w:rPr>
                <w:i w:val="0"/>
                <w:iCs/>
              </w:rPr>
            </w:pPr>
          </w:p>
        </w:tc>
        <w:tc>
          <w:tcPr>
            <w:tcW w:w="3227" w:type="pct"/>
          </w:tcPr>
          <w:p w14:paraId="2A8FFB72">
            <w:pPr>
              <w:pStyle w:val="16"/>
              <w:rPr>
                <w:i w:val="0"/>
                <w:iCs/>
              </w:rPr>
            </w:pPr>
          </w:p>
        </w:tc>
      </w:tr>
    </w:tbl>
    <w:p w14:paraId="606A10B3"/>
    <w:p w14:paraId="600F9A3D">
      <w:pPr>
        <w:pStyle w:val="3"/>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2.3</w:t>
      </w:r>
      <w:r>
        <w:rPr>
          <w:b w:val="0"/>
          <w:sz w:val="32"/>
          <w:lang w:eastAsia="ja-JP"/>
        </w:rPr>
        <w:tab/>
      </w:r>
      <w:r>
        <w:rPr>
          <w:b w:val="0"/>
          <w:sz w:val="32"/>
          <w:lang w:eastAsia="ja-JP"/>
        </w:rPr>
        <w:t>Other related Work Items and dependencies</w:t>
      </w:r>
    </w:p>
    <w:tbl>
      <w:tblPr>
        <w:tblStyle w:val="9"/>
        <w:tblW w:w="5000" w:type="pct"/>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autofit"/>
        <w:tblCellMar>
          <w:top w:w="0" w:type="dxa"/>
          <w:left w:w="108" w:type="dxa"/>
          <w:bottom w:w="0" w:type="dxa"/>
          <w:right w:w="108" w:type="dxa"/>
        </w:tblCellMar>
      </w:tblPr>
      <w:tblGrid>
        <w:gridCol w:w="1127"/>
        <w:gridCol w:w="4070"/>
        <w:gridCol w:w="4657"/>
      </w:tblGrid>
      <w:tr w14:paraId="0CA1A25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5000" w:type="pct"/>
            <w:gridSpan w:val="3"/>
            <w:shd w:val="clear" w:color="auto" w:fill="E0E0E0"/>
          </w:tcPr>
          <w:p w14:paraId="519CEFA0">
            <w:pPr>
              <w:pStyle w:val="17"/>
              <w:ind w:right="-99"/>
              <w:jc w:val="left"/>
            </w:pPr>
            <w:r>
              <w:t>Other related Work Items (if any)</w:t>
            </w:r>
          </w:p>
        </w:tc>
      </w:tr>
      <w:tr w14:paraId="61E6D67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572" w:type="pct"/>
            <w:shd w:val="clear" w:color="auto" w:fill="E0E0E0"/>
          </w:tcPr>
          <w:p w14:paraId="2FDCEB6C">
            <w:pPr>
              <w:pStyle w:val="17"/>
              <w:ind w:right="-99"/>
              <w:jc w:val="left"/>
            </w:pPr>
            <w:r>
              <w:t>Unique ID</w:t>
            </w:r>
          </w:p>
        </w:tc>
        <w:tc>
          <w:tcPr>
            <w:tcW w:w="2065" w:type="pct"/>
            <w:shd w:val="clear" w:color="auto" w:fill="E0E0E0"/>
          </w:tcPr>
          <w:p w14:paraId="49405A96">
            <w:pPr>
              <w:pStyle w:val="17"/>
              <w:ind w:right="-99"/>
              <w:jc w:val="left"/>
            </w:pPr>
            <w:r>
              <w:t>Title</w:t>
            </w:r>
          </w:p>
        </w:tc>
        <w:tc>
          <w:tcPr>
            <w:tcW w:w="2361" w:type="pct"/>
            <w:shd w:val="clear" w:color="auto" w:fill="E0E0E0"/>
          </w:tcPr>
          <w:p w14:paraId="44E009DA">
            <w:pPr>
              <w:pStyle w:val="17"/>
              <w:ind w:right="-99"/>
              <w:jc w:val="left"/>
            </w:pPr>
            <w:r>
              <w:t>Nature of relationship</w:t>
            </w:r>
          </w:p>
        </w:tc>
      </w:tr>
      <w:tr w14:paraId="52F7662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572" w:type="pct"/>
          </w:tcPr>
          <w:p w14:paraId="6FBEB778">
            <w:pPr>
              <w:pStyle w:val="19"/>
            </w:pPr>
            <w:r>
              <w:t>960046</w:t>
            </w:r>
          </w:p>
        </w:tc>
        <w:tc>
          <w:tcPr>
            <w:tcW w:w="2065" w:type="pct"/>
          </w:tcPr>
          <w:p w14:paraId="02917CCB">
            <w:pPr>
              <w:pStyle w:val="19"/>
            </w:pPr>
            <w:r>
              <w:t>5G_RTP</w:t>
            </w:r>
          </w:p>
        </w:tc>
        <w:tc>
          <w:tcPr>
            <w:tcW w:w="2361" w:type="pct"/>
          </w:tcPr>
          <w:p w14:paraId="226D3783">
            <w:pPr>
              <w:pStyle w:val="20"/>
              <w:rPr>
                <w:rFonts w:ascii="Arial" w:hAnsi="Arial" w:cs="Arial"/>
                <w:sz w:val="18"/>
                <w:szCs w:val="18"/>
              </w:rPr>
            </w:pPr>
            <w:r>
              <w:rPr>
                <w:rFonts w:ascii="Arial" w:hAnsi="Arial" w:cs="Arial"/>
                <w:sz w:val="18"/>
                <w:szCs w:val="18"/>
              </w:rPr>
              <w:t>Develops modes of using video communications in 3GPP network using RTP</w:t>
            </w:r>
          </w:p>
        </w:tc>
      </w:tr>
      <w:tr w14:paraId="17F2BF8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572" w:type="pct"/>
          </w:tcPr>
          <w:p w14:paraId="78177EB2">
            <w:pPr>
              <w:pStyle w:val="19"/>
            </w:pPr>
            <w:r>
              <w:t>870013</w:t>
            </w:r>
          </w:p>
        </w:tc>
        <w:tc>
          <w:tcPr>
            <w:tcW w:w="2065" w:type="pct"/>
          </w:tcPr>
          <w:p w14:paraId="38647544">
            <w:pPr>
              <w:pStyle w:val="19"/>
            </w:pPr>
            <w:r>
              <w:t>FS XR_Traffic</w:t>
            </w:r>
          </w:p>
        </w:tc>
        <w:tc>
          <w:tcPr>
            <w:tcW w:w="2361" w:type="pct"/>
          </w:tcPr>
          <w:p w14:paraId="00F37C43">
            <w:pPr>
              <w:pStyle w:val="20"/>
              <w:rPr>
                <w:rFonts w:ascii="Arial" w:hAnsi="Arial" w:cs="Arial"/>
                <w:sz w:val="18"/>
                <w:szCs w:val="18"/>
              </w:rPr>
            </w:pPr>
            <w:r>
              <w:rPr>
                <w:rFonts w:ascii="Arial" w:hAnsi="Arial" w:cs="Arial"/>
                <w:sz w:val="18"/>
                <w:szCs w:val="18"/>
              </w:rPr>
              <w:t>Develops test models and results in 3GPP network for XR cases</w:t>
            </w:r>
          </w:p>
        </w:tc>
      </w:tr>
      <w:tr w14:paraId="2A81F60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572" w:type="pct"/>
          </w:tcPr>
          <w:p w14:paraId="56AB5A51">
            <w:pPr>
              <w:pStyle w:val="19"/>
            </w:pPr>
            <w:r>
              <w:t>870011</w:t>
            </w:r>
          </w:p>
        </w:tc>
        <w:tc>
          <w:tcPr>
            <w:tcW w:w="2065" w:type="pct"/>
          </w:tcPr>
          <w:p w14:paraId="06B4AF75">
            <w:pPr>
              <w:pStyle w:val="19"/>
            </w:pPr>
            <w:r>
              <w:t>FS 5G_Video</w:t>
            </w:r>
          </w:p>
        </w:tc>
        <w:tc>
          <w:tcPr>
            <w:tcW w:w="2361" w:type="pct"/>
          </w:tcPr>
          <w:p w14:paraId="5CBBC503">
            <w:pPr>
              <w:pStyle w:val="20"/>
              <w:rPr>
                <w:rFonts w:ascii="Arial" w:hAnsi="Arial" w:cs="Arial"/>
                <w:sz w:val="18"/>
                <w:szCs w:val="18"/>
              </w:rPr>
            </w:pPr>
            <w:r>
              <w:rPr>
                <w:rFonts w:ascii="Arial" w:hAnsi="Arial" w:cs="Arial"/>
                <w:sz w:val="18"/>
                <w:szCs w:val="18"/>
              </w:rPr>
              <w:t>Develops the characterization of video codecs for 5G</w:t>
            </w:r>
          </w:p>
        </w:tc>
      </w:tr>
    </w:tbl>
    <w:p w14:paraId="56C95B7D">
      <w:pPr>
        <w:pStyle w:val="16"/>
      </w:pPr>
    </w:p>
    <w:p w14:paraId="05C7B38A">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3</w:t>
      </w:r>
      <w:r>
        <w:rPr>
          <w:b w:val="0"/>
          <w:sz w:val="36"/>
          <w:lang w:eastAsia="ja-JP"/>
        </w:rPr>
        <w:tab/>
      </w:r>
      <w:r>
        <w:rPr>
          <w:b w:val="0"/>
          <w:sz w:val="36"/>
          <w:lang w:eastAsia="ja-JP"/>
        </w:rPr>
        <w:t>Justification</w:t>
      </w:r>
    </w:p>
    <w:p w14:paraId="593F628A">
      <w:pPr>
        <w:pStyle w:val="21"/>
        <w:ind w:left="0" w:firstLine="0"/>
      </w:pPr>
      <w:r>
        <w:rPr>
          <w:rFonts w:hint="eastAsia"/>
        </w:rPr>
        <w:t xml:space="preserve">Traditional video communication services include video on demand (VoD), live streaming, video calls, and video conferences, which generally have relatively relaxed latency requirements. For example, VoD latency can be on the order of tens of seconds, live streaming latency typically ranges from 5 to </w:t>
      </w:r>
      <w:r>
        <w:t>3</w:t>
      </w:r>
      <w:r>
        <w:rPr>
          <w:rFonts w:hint="eastAsia"/>
        </w:rPr>
        <w:t xml:space="preserve">0 seconds, low-latency live streaming may achieve </w:t>
      </w:r>
      <w:r>
        <w:t>under 5</w:t>
      </w:r>
      <w:r>
        <w:rPr>
          <w:rFonts w:hint="eastAsia"/>
        </w:rPr>
        <w:t xml:space="preserve"> seconds, and video calls and conferences usually require latency in the range of 200 to 500 milliseconds. Under such conditions, retransmission at the sender side and buffering at the receiver side can be used to mitigate network fluctuations and ensure smooth playback.</w:t>
      </w:r>
    </w:p>
    <w:p w14:paraId="6FB424D1">
      <w:pPr>
        <w:pStyle w:val="21"/>
        <w:ind w:left="0" w:firstLine="0"/>
      </w:pPr>
      <w:r>
        <w:rPr>
          <w:rFonts w:hint="eastAsia"/>
        </w:rPr>
        <w:t>With the evolution from 5G-Advanced to 6G, ultra-low latency video services such as cloud gaming, immersive communication, and mobile meta</w:t>
      </w:r>
      <w:r>
        <w:t>-</w:t>
      </w:r>
      <w:r>
        <w:rPr>
          <w:rFonts w:hint="eastAsia"/>
        </w:rPr>
        <w:t>verse applications are rapidly emerging, placing significantly stricter requirements on end-to-end delay, reliability, and bandwidth efficiency. 3GPP TS 22.156 specifies that real-time meta</w:t>
      </w:r>
      <w:r>
        <w:t>-</w:t>
      </w:r>
      <w:r>
        <w:rPr>
          <w:rFonts w:hint="eastAsia"/>
        </w:rPr>
        <w:t xml:space="preserve">verse and avatar-based communication demand extremely end-to-end latency to maintain natural interaction and synchronization among multi-modal (visual, audio, and haptic) streams. 3GPP TR 22.870 further identifies 6G scenarios </w:t>
      </w:r>
      <w:r>
        <w:rPr>
          <w:rFonts w:hint="eastAsia" w:eastAsia="宋体"/>
          <w:lang w:val="en-US" w:eastAsia="zh-CN"/>
        </w:rPr>
        <w:t>such as</w:t>
      </w:r>
      <w:r>
        <w:rPr>
          <w:rFonts w:hint="eastAsia"/>
        </w:rPr>
        <w:t xml:space="preserve"> real-time video super-resolution and immersive gaming, which require </w:t>
      </w:r>
      <w:r>
        <w:rPr>
          <w:rFonts w:hint="eastAsia" w:eastAsia="宋体"/>
          <w:lang w:val="en-US" w:eastAsia="zh-CN"/>
        </w:rPr>
        <w:t xml:space="preserve">the </w:t>
      </w:r>
      <w:r>
        <w:rPr>
          <w:rFonts w:hint="eastAsia"/>
        </w:rPr>
        <w:t xml:space="preserve">high bandwidth and ultra-low </w:t>
      </w:r>
      <w:r>
        <w:rPr>
          <w:rFonts w:hint="eastAsia" w:eastAsia="宋体"/>
          <w:lang w:val="en-US" w:eastAsia="zh-CN"/>
        </w:rPr>
        <w:t>latency</w:t>
      </w:r>
      <w:r>
        <w:rPr>
          <w:rFonts w:hint="eastAsia"/>
        </w:rPr>
        <w:t xml:space="preserve"> transmission to ensure a smooth, responsive user experience.</w:t>
      </w:r>
    </w:p>
    <w:p w14:paraId="6CF55A36">
      <w:pPr>
        <w:pStyle w:val="21"/>
        <w:ind w:left="0" w:firstLine="0"/>
        <w:rPr>
          <w:rFonts w:hint="eastAsia"/>
        </w:rPr>
      </w:pPr>
      <w:r>
        <w:rPr>
          <w:rFonts w:hint="eastAsia"/>
        </w:rPr>
        <w:t>Among these</w:t>
      </w:r>
      <w:r>
        <w:rPr>
          <w:rFonts w:hint="eastAsia" w:eastAsia="宋体"/>
          <w:lang w:val="en-US" w:eastAsia="zh-CN"/>
        </w:rPr>
        <w:t xml:space="preserve"> </w:t>
      </w:r>
      <w:r>
        <w:rPr>
          <w:rFonts w:hint="eastAsia"/>
        </w:rPr>
        <w:t xml:space="preserve">emerging use cases, cloud gaming is one of the most </w:t>
      </w:r>
      <w:r>
        <w:rPr>
          <w:rFonts w:hint="eastAsia" w:eastAsia="宋体"/>
          <w:lang w:val="en-US" w:eastAsia="zh-CN"/>
        </w:rPr>
        <w:t>latency</w:t>
      </w:r>
      <w:r>
        <w:rPr>
          <w:rFonts w:hint="eastAsia"/>
        </w:rPr>
        <w:t>-sensitive use cases.</w:t>
      </w:r>
      <w:r>
        <w:rPr>
          <w:rFonts w:hint="eastAsia"/>
          <w:lang w:val="en-US" w:eastAsia="zh-CN"/>
        </w:rPr>
        <w:t xml:space="preserve"> In Chapter 9 “Immersive Communication” of TR 22.870, the two use cases — immersive gaming and real-time VR live service — repeatedly mention a typical service KPI requirement, which is the support for 120 frames per second (fp</w:t>
      </w:r>
      <w:r>
        <w:rPr>
          <w:rFonts w:hint="eastAsia"/>
          <w:highlight w:val="none"/>
          <w:lang w:val="en-US" w:eastAsia="zh-CN"/>
        </w:rPr>
        <w:t xml:space="preserve">s). </w:t>
      </w:r>
      <w:r>
        <w:rPr>
          <w:rFonts w:hint="eastAsia"/>
          <w:highlight w:val="none"/>
        </w:rPr>
        <w:t xml:space="preserve">At a frame rate of </w:t>
      </w:r>
      <w:r>
        <w:rPr>
          <w:rFonts w:hint="eastAsia" w:eastAsia="宋体"/>
          <w:highlight w:val="none"/>
          <w:lang w:val="en-US" w:eastAsia="zh-CN"/>
        </w:rPr>
        <w:t>120</w:t>
      </w:r>
      <w:r>
        <w:rPr>
          <w:rFonts w:hint="eastAsia"/>
          <w:highlight w:val="none"/>
        </w:rPr>
        <w:t xml:space="preserve"> frames per second</w:t>
      </w:r>
      <w:r>
        <w:rPr>
          <w:rFonts w:hint="eastAsia" w:eastAsia="宋体"/>
          <w:highlight w:val="none"/>
          <w:lang w:val="en-US" w:eastAsia="zh-CN"/>
        </w:rPr>
        <w:t xml:space="preserve"> (</w:t>
      </w:r>
      <w:r>
        <w:rPr>
          <w:rFonts w:hint="eastAsia"/>
          <w:highlight w:val="none"/>
        </w:rPr>
        <w:t>fps</w:t>
      </w:r>
      <w:r>
        <w:rPr>
          <w:rFonts w:hint="eastAsia" w:eastAsia="宋体"/>
          <w:highlight w:val="none"/>
          <w:lang w:val="en-US" w:eastAsia="zh-CN"/>
        </w:rPr>
        <w:t>)</w:t>
      </w:r>
      <w:r>
        <w:rPr>
          <w:rFonts w:hint="eastAsia"/>
          <w:highlight w:val="none"/>
        </w:rPr>
        <w:t xml:space="preserve">, the interval between two frames is only </w:t>
      </w:r>
      <w:r>
        <w:rPr>
          <w:rFonts w:hint="eastAsia" w:eastAsia="宋体"/>
          <w:highlight w:val="none"/>
          <w:lang w:val="en-US" w:eastAsia="zh-CN"/>
        </w:rPr>
        <w:t>8.3</w:t>
      </w:r>
      <w:r>
        <w:rPr>
          <w:rFonts w:hint="eastAsia"/>
          <w:highlight w:val="none"/>
        </w:rPr>
        <w:t xml:space="preserve"> milliseconds. When laten</w:t>
      </w:r>
      <w:r>
        <w:rPr>
          <w:rFonts w:hint="eastAsia"/>
        </w:rPr>
        <w:t xml:space="preserve">cy exceeds 10 milliseconds, players begin to perceive input delay, and at around 30 milliseconds, the system effectively introduces a four-frame delay—equivalent to reducing </w:t>
      </w:r>
      <w:r>
        <w:rPr>
          <w:rFonts w:hint="eastAsia" w:eastAsia="宋体"/>
          <w:lang w:val="en-US" w:eastAsia="zh-CN"/>
        </w:rPr>
        <w:t>120</w:t>
      </w:r>
      <w:r>
        <w:rPr>
          <w:rFonts w:hint="eastAsia"/>
        </w:rPr>
        <w:t xml:space="preserve"> fps responsiveness to about 30 fps—resulting in noticeable desynchronization and degraded playability. Similarly, remote industrial control applications such as autonomous driving or remote mining typically require between 50 and 100 milliseconds latency to maintain reliable perception and operational safety.</w:t>
      </w:r>
    </w:p>
    <w:p w14:paraId="3EFEBE6D">
      <w:pPr>
        <w:pStyle w:val="21"/>
        <w:ind w:left="0" w:firstLine="0"/>
        <w:rPr>
          <w:rFonts w:hint="eastAsia"/>
        </w:rPr>
      </w:pPr>
      <w:r>
        <w:rPr>
          <w:rFonts w:hint="eastAsia"/>
        </w:rPr>
        <w:t>To address these demands, the JVET established a</w:t>
      </w:r>
      <w:r>
        <w:rPr>
          <w:rFonts w:hint="eastAsia" w:eastAsia="宋体"/>
          <w:lang w:val="en-US" w:eastAsia="zh-CN"/>
        </w:rPr>
        <w:t xml:space="preserve"> new</w:t>
      </w:r>
      <w:r>
        <w:rPr>
          <w:rFonts w:hint="eastAsia"/>
        </w:rPr>
        <w:t xml:space="preserve"> Ad Hoc Gro</w:t>
      </w:r>
      <w:r>
        <w:rPr>
          <w:rFonts w:hint="eastAsia"/>
          <w:highlight w:val="none"/>
        </w:rPr>
        <w:t>up</w:t>
      </w:r>
      <w:r>
        <w:rPr>
          <w:rFonts w:hint="eastAsia"/>
          <w:color w:val="0000FF"/>
          <w:highlight w:val="none"/>
        </w:rPr>
        <w:t xml:space="preserve"> </w:t>
      </w:r>
      <w:r>
        <w:rPr>
          <w:rFonts w:hint="eastAsia"/>
          <w:color w:val="auto"/>
          <w:highlight w:val="none"/>
        </w:rPr>
        <w:t>(AHG</w:t>
      </w:r>
      <w:r>
        <w:rPr>
          <w:rFonts w:hint="eastAsia" w:eastAsia="宋体"/>
          <w:color w:val="auto"/>
          <w:highlight w:val="none"/>
          <w:lang w:val="en-US" w:eastAsia="zh-CN"/>
        </w:rPr>
        <w:t xml:space="preserve"> 18</w:t>
      </w:r>
      <w:r>
        <w:rPr>
          <w:rFonts w:hint="eastAsia"/>
          <w:color w:val="auto"/>
          <w:highlight w:val="none"/>
        </w:rPr>
        <w:t xml:space="preserve">) </w:t>
      </w:r>
      <w:r>
        <w:rPr>
          <w:rFonts w:hint="eastAsia" w:eastAsia="宋体"/>
          <w:color w:val="auto"/>
          <w:highlight w:val="none"/>
          <w:lang w:val="en-US" w:eastAsia="zh-CN"/>
        </w:rPr>
        <w:t xml:space="preserve">on Ultra-low Latency and Packet Loss Resilience </w:t>
      </w:r>
      <w:r>
        <w:rPr>
          <w:rFonts w:hint="eastAsia"/>
          <w:highlight w:val="none"/>
        </w:rPr>
        <w:t>during its 37th meeting in January 2025, dedicated to researching test methodologies and technologies for ultra-low latency video coding. The AHG’s work includes defining test conditions, evaluation criteria, and methodologies supporting end-to-end latency targets from 25 to 100 milliseconds; developing simulation software that models real network transmission environments; evaluating the</w:t>
      </w:r>
      <w:r>
        <w:rPr>
          <w:rFonts w:hint="eastAsia" w:eastAsia="宋体"/>
          <w:highlight w:val="none"/>
          <w:lang w:val="en-US" w:eastAsia="zh-CN"/>
        </w:rPr>
        <w:t xml:space="preserve"> </w:t>
      </w:r>
      <w:r>
        <w:rPr>
          <w:rFonts w:hint="eastAsia" w:eastAsia="宋体"/>
          <w:color w:val="auto"/>
          <w:highlight w:val="none"/>
          <w:lang w:val="en-US" w:eastAsia="zh-CN"/>
        </w:rPr>
        <w:t>overall</w:t>
      </w:r>
      <w:r>
        <w:rPr>
          <w:rFonts w:hint="eastAsia"/>
          <w:color w:val="auto"/>
          <w:highlight w:val="none"/>
        </w:rPr>
        <w:t xml:space="preserve"> </w:t>
      </w:r>
      <w:r>
        <w:rPr>
          <w:rFonts w:hint="eastAsia"/>
          <w:highlight w:val="none"/>
        </w:rPr>
        <w:t>performance and feasibility of key coding tools such as packet loss resilient decoding; and exploring candidate coding techn</w:t>
      </w:r>
      <w:r>
        <w:rPr>
          <w:rFonts w:hint="eastAsia"/>
        </w:rPr>
        <w:t>ologies to meet the special needs of interactive and live streaming low-latency applications.</w:t>
      </w:r>
    </w:p>
    <w:p w14:paraId="1B92C63A">
      <w:pPr>
        <w:pStyle w:val="21"/>
        <w:ind w:left="0" w:firstLine="0"/>
      </w:pPr>
      <w:r>
        <w:rPr>
          <w:rFonts w:hint="eastAsia"/>
        </w:rPr>
        <w:t>Emerging use cases such as cloud gaming and immersive communication highlight a shift from delay-tolerant video services to real-time, high-reliability applications. These scenarios impose stringent end-to-end latency and stability requirements that challenge traditional buffering and retransmission mechanisms. Within 3GPP, TS 26.522 defines several transmission-side mechanisms to support such low-latency services, including RTP header extensions for PDU Set QoS marking, dynamic traffic characteristics signaling, and expedited transfer indication, enabling network-level prioritization and selective packet handling.</w:t>
      </w:r>
    </w:p>
    <w:p w14:paraId="68CB553E">
      <w:pPr>
        <w:pStyle w:val="21"/>
        <w:ind w:left="0" w:firstLine="0"/>
      </w:pPr>
      <w:r>
        <w:rPr>
          <w:rFonts w:hint="eastAsia"/>
        </w:rPr>
        <w:t xml:space="preserve">However, while these mechanisms enhance transport efficiency and responsiveness, they primarily address transmission-layer behavior. </w:t>
      </w:r>
      <w:r>
        <w:rPr>
          <w:rFonts w:hint="eastAsia" w:eastAsia="宋体"/>
          <w:lang w:val="en-US" w:eastAsia="zh-CN"/>
        </w:rPr>
        <w:t>T</w:t>
      </w:r>
      <w:r>
        <w:rPr>
          <w:rFonts w:hint="eastAsia"/>
        </w:rPr>
        <w:t>his study adopts a joint optimization approach integrate</w:t>
      </w:r>
      <w:r>
        <w:rPr>
          <w:rFonts w:hint="eastAsia" w:eastAsia="宋体"/>
          <w:lang w:val="en-US" w:eastAsia="zh-CN"/>
        </w:rPr>
        <w:t>ing</w:t>
      </w:r>
      <w:r>
        <w:rPr>
          <w:rFonts w:hint="eastAsia"/>
        </w:rPr>
        <w:t xml:space="preserve"> transmission and codec processing to reduce end-to-end latency and to comprehensively characterize and evaluate end-to-end performance for ultra-low latency video communication scenarios.</w:t>
      </w:r>
    </w:p>
    <w:p w14:paraId="0DC49CDD">
      <w:pPr>
        <w:pStyle w:val="21"/>
        <w:ind w:left="0" w:firstLine="0"/>
        <w:rPr>
          <w:highlight w:val="yellow"/>
        </w:rPr>
      </w:pPr>
      <w:r>
        <w:rPr>
          <w:rFonts w:hint="eastAsia"/>
        </w:rPr>
        <w:t>While SA</w:t>
      </w:r>
      <w:r>
        <w:rPr>
          <w:rFonts w:hint="eastAsia" w:eastAsia="宋体"/>
          <w:lang w:val="en-US" w:eastAsia="zh-CN"/>
        </w:rPr>
        <w:t>4</w:t>
      </w:r>
      <w:r>
        <w:rPr>
          <w:rFonts w:hint="eastAsia"/>
        </w:rPr>
        <w:t xml:space="preserve"> has established a codec characterization framework in TR 26.955</w:t>
      </w:r>
      <w:r>
        <w:rPr>
          <w:rFonts w:hint="eastAsia" w:eastAsia="宋体"/>
          <w:lang w:val="en-US" w:eastAsia="zh-CN"/>
        </w:rPr>
        <w:t>, covering</w:t>
      </w:r>
      <w:r>
        <w:rPr>
          <w:rFonts w:hint="eastAsia"/>
        </w:rPr>
        <w:t xml:space="preserve"> streaming media, cloud gaming, messaging and social sharing, screen content coding, and 4K television</w:t>
      </w:r>
      <w:r>
        <w:rPr>
          <w:rFonts w:hint="eastAsia" w:eastAsia="宋体"/>
          <w:lang w:val="en-US" w:eastAsia="zh-CN"/>
        </w:rPr>
        <w:t xml:space="preserve">, </w:t>
      </w:r>
      <w:r>
        <w:rPr>
          <w:rFonts w:hint="eastAsia"/>
        </w:rPr>
        <w:t>the existing evaluation primarily focuses on</w:t>
      </w:r>
      <w:r>
        <w:rPr>
          <w:rFonts w:hint="eastAsia" w:eastAsia="宋体"/>
          <w:lang w:val="en-US" w:eastAsia="zh-CN"/>
        </w:rPr>
        <w:t xml:space="preserve"> </w:t>
      </w:r>
      <w:r>
        <w:rPr>
          <w:rFonts w:hint="eastAsia"/>
        </w:rPr>
        <w:t>coding performance, computational complexity, and quality assessment under conventional delay conditions</w:t>
      </w:r>
      <w:r>
        <w:rPr>
          <w:rFonts w:hint="eastAsia" w:eastAsia="宋体"/>
          <w:lang w:val="en-US" w:eastAsia="zh-CN"/>
        </w:rPr>
        <w:t>. However, it does not address</w:t>
      </w:r>
      <w:r>
        <w:rPr>
          <w:rFonts w:hint="eastAsia"/>
        </w:rPr>
        <w:t xml:space="preserve"> test conditions, evaluation methodologies, and characterization approaches specific to ultra-low </w:t>
      </w:r>
      <w:r>
        <w:rPr>
          <w:rFonts w:hint="eastAsia" w:eastAsia="宋体"/>
          <w:lang w:val="en-US" w:eastAsia="zh-CN"/>
        </w:rPr>
        <w:t>latency</w:t>
      </w:r>
      <w:r>
        <w:rPr>
          <w:rFonts w:hint="eastAsia"/>
        </w:rPr>
        <w:t xml:space="preserve"> video applications.</w:t>
      </w:r>
    </w:p>
    <w:p w14:paraId="4AC27FA2">
      <w:pPr>
        <w:pStyle w:val="21"/>
        <w:ind w:left="0" w:firstLine="0"/>
        <w:rPr>
          <w:rStyle w:val="14"/>
        </w:rPr>
      </w:pPr>
      <w:r>
        <w:rPr>
          <w:rFonts w:hint="eastAsia"/>
        </w:rPr>
        <w:t xml:space="preserve">This </w:t>
      </w:r>
      <w:r>
        <w:rPr>
          <w:rFonts w:hint="eastAsia" w:eastAsia="宋体"/>
          <w:lang w:val="en-US" w:eastAsia="zh-CN"/>
        </w:rPr>
        <w:t>s</w:t>
      </w:r>
      <w:r>
        <w:rPr>
          <w:rFonts w:hint="eastAsia"/>
        </w:rPr>
        <w:t xml:space="preserve">tudy </w:t>
      </w:r>
      <w:r>
        <w:rPr>
          <w:rFonts w:hint="eastAsia" w:eastAsia="宋体"/>
          <w:lang w:val="en-US" w:eastAsia="zh-CN"/>
        </w:rPr>
        <w:t>i</w:t>
      </w:r>
      <w:r>
        <w:rPr>
          <w:rFonts w:hint="eastAsia"/>
        </w:rPr>
        <w:t xml:space="preserve">tem aims to build upon the existing video codec characterization efforts by focusing on the research and development of test conditions, evaluation criteria, and characterization methods for ultra-low latency and highly reliable application scenarios, as well as investigating processing strategies and technologies for ultra-low latency video applications under network fluctuation, and developing comprehensive end-to-end characterization </w:t>
      </w:r>
      <w:r>
        <w:rPr>
          <w:rFonts w:hint="eastAsia" w:eastAsia="宋体"/>
          <w:lang w:val="en-US" w:eastAsia="zh-CN"/>
        </w:rPr>
        <w:t xml:space="preserve">and evaluation </w:t>
      </w:r>
      <w:r>
        <w:rPr>
          <w:rFonts w:hint="eastAsia"/>
        </w:rPr>
        <w:t>of video quality and latency performance</w:t>
      </w:r>
      <w:r>
        <w:rPr>
          <w:rFonts w:hint="eastAsia" w:eastAsia="宋体"/>
          <w:lang w:val="en-US" w:eastAsia="zh-CN"/>
        </w:rPr>
        <w:t xml:space="preserve"> for 3GPP network</w:t>
      </w:r>
      <w:r>
        <w:rPr>
          <w:rFonts w:hint="eastAsia"/>
        </w:rPr>
        <w:t xml:space="preserve"> based on these investigations. </w:t>
      </w:r>
    </w:p>
    <w:p w14:paraId="07BF9940">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4</w:t>
      </w:r>
      <w:r>
        <w:rPr>
          <w:b w:val="0"/>
          <w:sz w:val="36"/>
          <w:lang w:eastAsia="ja-JP"/>
        </w:rPr>
        <w:tab/>
      </w:r>
      <w:r>
        <w:rPr>
          <w:b w:val="0"/>
          <w:sz w:val="36"/>
          <w:lang w:eastAsia="ja-JP"/>
        </w:rPr>
        <w:t>Objective</w:t>
      </w:r>
    </w:p>
    <w:p w14:paraId="5C66DD7A">
      <w:pPr>
        <w:spacing w:after="160" w:line="256" w:lineRule="auto"/>
        <w:rPr>
          <w:rFonts w:eastAsia="Malgun Gothic"/>
          <w:color w:val="000000" w:themeColor="text1"/>
          <w:lang w:eastAsia="ko-KR"/>
          <w14:textFill>
            <w14:solidFill>
              <w14:schemeClr w14:val="tx1"/>
            </w14:solidFill>
          </w14:textFill>
        </w:rPr>
      </w:pPr>
      <w:r>
        <w:rPr>
          <w:color w:val="000000" w:themeColor="text1"/>
          <w:lang w:val="en-US"/>
          <w14:textFill>
            <w14:solidFill>
              <w14:schemeClr w14:val="tx1"/>
            </w14:solidFill>
          </w14:textFill>
        </w:rPr>
        <w:t>The study item has the following objectives:</w:t>
      </w:r>
      <w:bookmarkStart w:id="0" w:name="OLE_LINK1"/>
    </w:p>
    <w:bookmarkEnd w:id="0"/>
    <w:p w14:paraId="714B781F">
      <w:pPr>
        <w:pStyle w:val="21"/>
        <w:numPr>
          <w:ilvl w:val="0"/>
          <w:numId w:val="1"/>
        </w:numPr>
        <w:rPr>
          <w:lang w:eastAsia="zh-CN"/>
        </w:rPr>
      </w:pPr>
      <w:r>
        <w:rPr>
          <w:rFonts w:hint="eastAsia"/>
          <w:lang w:val="en-US" w:eastAsia="zh-CN"/>
        </w:rPr>
        <w:t>Refine SA1-defined</w:t>
      </w:r>
      <w:r>
        <w:rPr>
          <w:lang w:eastAsia="zh-CN"/>
        </w:rPr>
        <w:t xml:space="preserve"> use cases and specific requirements for the </w:t>
      </w:r>
      <w:r>
        <w:rPr>
          <w:rFonts w:hint="eastAsia"/>
          <w:lang w:val="en-US" w:eastAsia="zh-CN"/>
        </w:rPr>
        <w:t>U</w:t>
      </w:r>
      <w:r>
        <w:rPr>
          <w:lang w:eastAsia="zh-CN"/>
        </w:rPr>
        <w:t>ltra-</w:t>
      </w:r>
      <w:r>
        <w:rPr>
          <w:rFonts w:hint="eastAsia"/>
          <w:lang w:val="en-US" w:eastAsia="zh-CN"/>
        </w:rPr>
        <w:t>L</w:t>
      </w:r>
      <w:r>
        <w:rPr>
          <w:lang w:eastAsia="zh-CN"/>
        </w:rPr>
        <w:t xml:space="preserve">ow </w:t>
      </w:r>
      <w:r>
        <w:rPr>
          <w:rFonts w:hint="eastAsia"/>
          <w:lang w:val="en-US" w:eastAsia="zh-CN"/>
        </w:rPr>
        <w:t>Latency</w:t>
      </w:r>
      <w:r>
        <w:rPr>
          <w:lang w:eastAsia="zh-CN"/>
        </w:rPr>
        <w:t xml:space="preserve"> (UL</w:t>
      </w:r>
      <w:r>
        <w:rPr>
          <w:rFonts w:hint="eastAsia"/>
          <w:lang w:val="en-US" w:eastAsia="zh-CN"/>
        </w:rPr>
        <w:t>L</w:t>
      </w:r>
      <w:r>
        <w:rPr>
          <w:lang w:eastAsia="zh-CN"/>
        </w:rPr>
        <w:t>) video application</w:t>
      </w:r>
      <w:r>
        <w:rPr>
          <w:rFonts w:hint="eastAsia"/>
          <w:lang w:val="en-US" w:eastAsia="zh-CN"/>
        </w:rPr>
        <w:t>s</w:t>
      </w:r>
      <w:r>
        <w:rPr>
          <w:lang w:eastAsia="zh-CN"/>
        </w:rPr>
        <w:t xml:space="preserve">, </w:t>
      </w:r>
      <w:r>
        <w:rPr>
          <w:rFonts w:hint="eastAsia"/>
          <w:lang w:val="en-US" w:eastAsia="zh-CN"/>
        </w:rPr>
        <w:t>e.g. cloud gaming, autonomous driving, and remote mining.</w:t>
      </w:r>
    </w:p>
    <w:p w14:paraId="774C1F31">
      <w:pPr>
        <w:pStyle w:val="21"/>
        <w:numPr>
          <w:ilvl w:val="0"/>
          <w:numId w:val="1"/>
        </w:numPr>
        <w:rPr>
          <w:lang w:val="en-US" w:eastAsia="zh-CN"/>
        </w:rPr>
      </w:pPr>
      <w:r>
        <w:rPr>
          <w:rFonts w:hint="eastAsia" w:eastAsia="宋体"/>
          <w:lang w:val="en-US" w:eastAsia="zh-CN"/>
        </w:rPr>
        <w:t>Investigate and identify test con</w:t>
      </w:r>
      <w:r>
        <w:rPr>
          <w:rFonts w:hint="eastAsia"/>
          <w:lang w:val="en-US" w:eastAsia="zh-CN"/>
        </w:rPr>
        <w:t xml:space="preserve">ditions, evaluation criteria, and evaluation methodology for </w:t>
      </w:r>
      <w:r>
        <w:rPr>
          <w:lang w:eastAsia="zh-CN"/>
        </w:rPr>
        <w:t xml:space="preserve">ultra-low </w:t>
      </w:r>
      <w:r>
        <w:rPr>
          <w:rFonts w:hint="eastAsia"/>
          <w:lang w:val="en-US" w:eastAsia="zh-CN"/>
        </w:rPr>
        <w:t>latency</w:t>
      </w:r>
      <w:r>
        <w:rPr>
          <w:lang w:eastAsia="zh-CN"/>
        </w:rPr>
        <w:t xml:space="preserve"> video application</w:t>
      </w:r>
      <w:r>
        <w:rPr>
          <w:rFonts w:hint="eastAsia"/>
          <w:lang w:val="en-US" w:eastAsia="zh-CN"/>
        </w:rPr>
        <w:t>s, taking 3GPP TR 26.926 as a reference model where applicable.</w:t>
      </w:r>
    </w:p>
    <w:p w14:paraId="3E55843A">
      <w:pPr>
        <w:pStyle w:val="21"/>
        <w:numPr>
          <w:ilvl w:val="0"/>
          <w:numId w:val="1"/>
        </w:numPr>
        <w:rPr>
          <w:lang w:val="en-CA" w:eastAsia="zh-CN"/>
        </w:rPr>
      </w:pPr>
      <w:r>
        <w:rPr>
          <w:rFonts w:hint="eastAsia"/>
          <w:lang w:val="en-US" w:eastAsia="zh-CN"/>
        </w:rPr>
        <w:t xml:space="preserve">Investigate </w:t>
      </w:r>
      <w:r>
        <w:rPr>
          <w:lang w:val="en-US" w:eastAsia="zh-CN"/>
        </w:rPr>
        <w:t xml:space="preserve">and document </w:t>
      </w:r>
      <w:r>
        <w:rPr>
          <w:rFonts w:hint="eastAsia"/>
          <w:lang w:val="en-US" w:eastAsia="zh-CN"/>
        </w:rPr>
        <w:t>processing strategies and technologies for ultra-low latency video applications under network fluctuation, e.g., packet-loss resilience, jitter and congestion control, and optimized configurations.</w:t>
      </w:r>
    </w:p>
    <w:p w14:paraId="71BE6E6C">
      <w:pPr>
        <w:pStyle w:val="21"/>
        <w:numPr>
          <w:ilvl w:val="0"/>
          <w:numId w:val="1"/>
        </w:numPr>
        <w:rPr>
          <w:lang w:val="en-US" w:eastAsia="zh-CN"/>
        </w:rPr>
      </w:pPr>
      <w:r>
        <w:rPr>
          <w:rFonts w:hint="eastAsia"/>
          <w:lang w:val="en-US" w:eastAsia="zh-CN"/>
        </w:rPr>
        <w:t>Develop comprehensive end-to-end characterization of video quality and latency performance for 3GPP network, based on identified test conditions and evaluation methodologies (Objective 2), and leveraging packet loss resilient configurations for ultra-low latency scenarios (Objective 3).</w:t>
      </w:r>
    </w:p>
    <w:p w14:paraId="319F1EC5">
      <w:pPr>
        <w:pStyle w:val="21"/>
        <w:numPr>
          <w:ilvl w:val="0"/>
          <w:numId w:val="1"/>
        </w:numPr>
        <w:rPr>
          <w:lang w:val="en-US" w:eastAsia="zh-CN"/>
        </w:rPr>
      </w:pPr>
      <w:r>
        <w:rPr>
          <w:rFonts w:hint="eastAsia"/>
          <w:lang w:val="en-US" w:eastAsia="zh-CN"/>
        </w:rPr>
        <w:t>Evaluate end-to-end video quality and latency performance for ultra-low-latency applications, building on the test conditions, methodologies, and characterization developed in Objectives 2–4, and referencing the codec configurations specified in 3GPP.</w:t>
      </w:r>
    </w:p>
    <w:p w14:paraId="12879149">
      <w:pPr>
        <w:pStyle w:val="22"/>
        <w:spacing w:after="180"/>
        <w:rPr>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NOTE 1: End-to-end latency (E2E latency) is the total time elapsed between the generation of a video frame at the source side and the perception of its visual effect at the receiver side.</w:t>
      </w:r>
    </w:p>
    <w:p w14:paraId="75DD6885">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5</w:t>
      </w:r>
      <w:r>
        <w:rPr>
          <w:b w:val="0"/>
          <w:sz w:val="36"/>
          <w:lang w:eastAsia="ja-JP"/>
        </w:rPr>
        <w:tab/>
      </w:r>
      <w:r>
        <w:rPr>
          <w:b w:val="0"/>
          <w:sz w:val="36"/>
          <w:lang w:eastAsia="ja-JP"/>
        </w:rPr>
        <w:t>Expected Output and Time scale</w:t>
      </w:r>
    </w:p>
    <w:p w14:paraId="49FFAFB3"/>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2"/>
        <w:gridCol w:w="1509"/>
        <w:gridCol w:w="3333"/>
        <w:gridCol w:w="934"/>
        <w:gridCol w:w="1211"/>
        <w:gridCol w:w="1714"/>
      </w:tblGrid>
      <w:tr w14:paraId="4C8E68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413" w:type="dxa"/>
            <w:gridSpan w:val="6"/>
            <w:shd w:val="clear" w:color="auto" w:fill="D9D9D9"/>
            <w:tcMar>
              <w:left w:w="57" w:type="dxa"/>
              <w:right w:w="57" w:type="dxa"/>
            </w:tcMar>
          </w:tcPr>
          <w:p w14:paraId="710449C1">
            <w:pPr>
              <w:pStyle w:val="17"/>
            </w:pPr>
            <w:r>
              <w:t>New specifications {One line per specification. Create/delete lines as needed}</w:t>
            </w:r>
          </w:p>
        </w:tc>
      </w:tr>
      <w:tr w14:paraId="33D83C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12" w:type="dxa"/>
            <w:shd w:val="clear" w:color="auto" w:fill="D9D9D9"/>
            <w:tcMar>
              <w:left w:w="57" w:type="dxa"/>
              <w:right w:w="57" w:type="dxa"/>
            </w:tcMar>
          </w:tcPr>
          <w:p w14:paraId="0E4231E6">
            <w:pPr>
              <w:pStyle w:val="17"/>
            </w:pPr>
            <w:r>
              <w:t xml:space="preserve">Type </w:t>
            </w:r>
          </w:p>
        </w:tc>
        <w:tc>
          <w:tcPr>
            <w:tcW w:w="1509" w:type="dxa"/>
            <w:shd w:val="clear" w:color="auto" w:fill="D9D9D9"/>
            <w:tcMar>
              <w:left w:w="57" w:type="dxa"/>
              <w:right w:w="57" w:type="dxa"/>
            </w:tcMar>
          </w:tcPr>
          <w:p w14:paraId="1C810572">
            <w:pPr>
              <w:pStyle w:val="17"/>
            </w:pPr>
            <w:r>
              <w:t>TS/TR number</w:t>
            </w:r>
          </w:p>
        </w:tc>
        <w:tc>
          <w:tcPr>
            <w:tcW w:w="3333" w:type="dxa"/>
            <w:shd w:val="clear" w:color="auto" w:fill="D9D9D9"/>
            <w:tcMar>
              <w:left w:w="57" w:type="dxa"/>
              <w:right w:w="57" w:type="dxa"/>
            </w:tcMar>
          </w:tcPr>
          <w:p w14:paraId="1CBAA56E">
            <w:pPr>
              <w:pStyle w:val="17"/>
            </w:pPr>
            <w:r>
              <w:t>Title</w:t>
            </w:r>
          </w:p>
        </w:tc>
        <w:tc>
          <w:tcPr>
            <w:tcW w:w="934" w:type="dxa"/>
            <w:shd w:val="clear" w:color="auto" w:fill="D9D9D9"/>
            <w:tcMar>
              <w:left w:w="57" w:type="dxa"/>
              <w:right w:w="57" w:type="dxa"/>
            </w:tcMar>
          </w:tcPr>
          <w:p w14:paraId="3F693D96">
            <w:pPr>
              <w:pStyle w:val="17"/>
            </w:pPr>
            <w:r>
              <w:t xml:space="preserve">For info </w:t>
            </w:r>
            <w:r>
              <w:br w:type="textWrapping"/>
            </w:r>
            <w:r>
              <w:t xml:space="preserve">at TSG# </w:t>
            </w:r>
          </w:p>
        </w:tc>
        <w:tc>
          <w:tcPr>
            <w:tcW w:w="1211" w:type="dxa"/>
            <w:shd w:val="clear" w:color="auto" w:fill="D9D9D9"/>
            <w:tcMar>
              <w:left w:w="57" w:type="dxa"/>
              <w:right w:w="57" w:type="dxa"/>
            </w:tcMar>
          </w:tcPr>
          <w:p w14:paraId="436C680D">
            <w:pPr>
              <w:pStyle w:val="17"/>
            </w:pPr>
            <w:r>
              <w:t>For approval at TSG#</w:t>
            </w:r>
          </w:p>
        </w:tc>
        <w:tc>
          <w:tcPr>
            <w:tcW w:w="1714" w:type="dxa"/>
            <w:shd w:val="clear" w:color="auto" w:fill="D9D9D9"/>
            <w:tcMar>
              <w:left w:w="57" w:type="dxa"/>
              <w:right w:w="57" w:type="dxa"/>
            </w:tcMar>
          </w:tcPr>
          <w:p w14:paraId="30E09C48">
            <w:pPr>
              <w:pStyle w:val="17"/>
            </w:pPr>
            <w:r>
              <w:t>Rapporteur</w:t>
            </w:r>
          </w:p>
        </w:tc>
      </w:tr>
      <w:tr w14:paraId="0C1228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12" w:type="dxa"/>
          </w:tcPr>
          <w:p w14:paraId="099C1CAE">
            <w:pPr>
              <w:pStyle w:val="19"/>
              <w:jc w:val="center"/>
              <w:rPr>
                <w:rFonts w:ascii="Times New Roman" w:hAnsi="Times New Roman" w:eastAsia="宋体"/>
                <w:i/>
                <w:iCs/>
                <w:sz w:val="21"/>
                <w:szCs w:val="21"/>
                <w:lang w:val="en-US" w:eastAsia="zh-CN"/>
              </w:rPr>
            </w:pPr>
            <w:r>
              <w:rPr>
                <w:rFonts w:ascii="Times New Roman" w:hAnsi="Times New Roman" w:eastAsia="宋体"/>
                <w:i/>
                <w:iCs/>
                <w:sz w:val="21"/>
                <w:szCs w:val="21"/>
                <w:lang w:val="en-US" w:eastAsia="zh-CN"/>
              </w:rPr>
              <w:t>TR</w:t>
            </w:r>
          </w:p>
        </w:tc>
        <w:tc>
          <w:tcPr>
            <w:tcW w:w="1509" w:type="dxa"/>
          </w:tcPr>
          <w:p w14:paraId="4504E74C">
            <w:pPr>
              <w:pStyle w:val="19"/>
              <w:jc w:val="center"/>
              <w:rPr>
                <w:rFonts w:ascii="Times New Roman" w:hAnsi="Times New Roman" w:eastAsia="宋体"/>
                <w:i/>
                <w:iCs/>
                <w:sz w:val="21"/>
                <w:szCs w:val="21"/>
                <w:lang w:val="en-US" w:eastAsia="zh-CN"/>
              </w:rPr>
            </w:pPr>
            <w:r>
              <w:rPr>
                <w:rFonts w:ascii="Times New Roman" w:hAnsi="Times New Roman" w:eastAsia="宋体"/>
                <w:i/>
                <w:iCs/>
                <w:sz w:val="21"/>
                <w:szCs w:val="21"/>
                <w:lang w:val="en-US" w:eastAsia="zh-CN"/>
              </w:rPr>
              <w:t>26.</w:t>
            </w:r>
            <w:r>
              <w:rPr>
                <w:rFonts w:hint="eastAsia" w:ascii="Times New Roman" w:hAnsi="Times New Roman" w:eastAsia="宋体"/>
                <w:i/>
                <w:iCs/>
                <w:sz w:val="21"/>
                <w:szCs w:val="21"/>
                <w:lang w:val="en-US" w:eastAsia="zh-CN"/>
              </w:rPr>
              <w:t>xxx</w:t>
            </w:r>
          </w:p>
        </w:tc>
        <w:tc>
          <w:tcPr>
            <w:tcW w:w="3333" w:type="dxa"/>
          </w:tcPr>
          <w:p w14:paraId="682A2F44">
            <w:pPr>
              <w:pStyle w:val="19"/>
              <w:rPr>
                <w:rFonts w:ascii="Times New Roman" w:hAnsi="Times New Roman"/>
                <w:i/>
                <w:iCs/>
                <w:sz w:val="21"/>
                <w:szCs w:val="21"/>
              </w:rPr>
            </w:pPr>
            <w:r>
              <w:rPr>
                <w:rFonts w:hint="eastAsia" w:ascii="Times New Roman" w:hAnsi="Times New Roman"/>
                <w:i w:val="0"/>
                <w:iCs w:val="0"/>
                <w:sz w:val="20"/>
                <w:szCs w:val="20"/>
              </w:rPr>
              <w:t>Study on Ultra-Low Latency Video Communication Characterization and Evaluation</w:t>
            </w:r>
            <w:bookmarkStart w:id="1" w:name="_GoBack"/>
            <w:bookmarkEnd w:id="1"/>
          </w:p>
        </w:tc>
        <w:tc>
          <w:tcPr>
            <w:tcW w:w="934" w:type="dxa"/>
          </w:tcPr>
          <w:p w14:paraId="356429AE">
            <w:pPr>
              <w:pStyle w:val="19"/>
              <w:jc w:val="center"/>
              <w:rPr>
                <w:rFonts w:ascii="Times New Roman" w:hAnsi="Times New Roman" w:eastAsia="宋体"/>
                <w:i/>
                <w:iCs/>
                <w:sz w:val="21"/>
                <w:szCs w:val="21"/>
                <w:lang w:val="en-US" w:eastAsia="zh-CN"/>
              </w:rPr>
            </w:pPr>
            <w:r>
              <w:rPr>
                <w:rFonts w:ascii="Times New Roman" w:hAnsi="Times New Roman" w:eastAsia="宋体"/>
                <w:i/>
                <w:iCs/>
                <w:sz w:val="21"/>
                <w:szCs w:val="21"/>
                <w:lang w:val="en-US" w:eastAsia="zh-CN"/>
              </w:rPr>
              <w:t>SA#1</w:t>
            </w:r>
            <w:r>
              <w:rPr>
                <w:rFonts w:hint="eastAsia" w:ascii="Times New Roman" w:hAnsi="Times New Roman" w:eastAsia="宋体"/>
                <w:i/>
                <w:iCs/>
                <w:sz w:val="21"/>
                <w:szCs w:val="21"/>
                <w:lang w:val="en-US" w:eastAsia="zh-CN"/>
              </w:rPr>
              <w:t>10</w:t>
            </w:r>
          </w:p>
        </w:tc>
        <w:tc>
          <w:tcPr>
            <w:tcW w:w="1211" w:type="dxa"/>
          </w:tcPr>
          <w:p w14:paraId="5E9FDA37">
            <w:pPr>
              <w:pStyle w:val="19"/>
              <w:jc w:val="center"/>
              <w:rPr>
                <w:rFonts w:ascii="Times New Roman" w:hAnsi="Times New Roman" w:eastAsia="宋体"/>
                <w:i/>
                <w:iCs/>
                <w:sz w:val="21"/>
                <w:szCs w:val="21"/>
                <w:lang w:val="en-US" w:eastAsia="zh-CN"/>
              </w:rPr>
            </w:pPr>
            <w:r>
              <w:rPr>
                <w:rFonts w:ascii="Times New Roman" w:hAnsi="Times New Roman" w:eastAsia="宋体"/>
                <w:i/>
                <w:iCs/>
                <w:sz w:val="21"/>
                <w:szCs w:val="21"/>
                <w:lang w:val="en-US" w:eastAsia="zh-CN"/>
              </w:rPr>
              <w:t>SA#</w:t>
            </w:r>
            <w:r>
              <w:rPr>
                <w:rFonts w:hint="eastAsia" w:ascii="Times New Roman" w:hAnsi="Times New Roman" w:eastAsia="宋体"/>
                <w:i/>
                <w:iCs/>
                <w:sz w:val="21"/>
                <w:szCs w:val="21"/>
                <w:lang w:val="en-US" w:eastAsia="zh-CN"/>
              </w:rPr>
              <w:t>114</w:t>
            </w:r>
          </w:p>
        </w:tc>
        <w:tc>
          <w:tcPr>
            <w:tcW w:w="1714" w:type="dxa"/>
          </w:tcPr>
          <w:p w14:paraId="5ABDA754">
            <w:pPr>
              <w:jc w:val="center"/>
              <w:rPr>
                <w:rFonts w:ascii="Times New Roman" w:hAnsi="Times New Roman"/>
                <w:i/>
                <w:iCs/>
                <w:sz w:val="21"/>
                <w:szCs w:val="21"/>
              </w:rPr>
            </w:pPr>
            <w:r>
              <w:rPr>
                <w:rFonts w:hint="eastAsia" w:eastAsia="宋体"/>
                <w:i/>
                <w:lang w:val="en-US" w:eastAsia="zh-CN"/>
              </w:rPr>
              <w:t xml:space="preserve">Yang Li, </w:t>
            </w:r>
            <w:r>
              <w:fldChar w:fldCharType="begin"/>
            </w:r>
            <w:r>
              <w:instrText xml:space="preserve"> HYPERLINK "mailto:liy24@pcl.ac.cn" </w:instrText>
            </w:r>
            <w:r>
              <w:fldChar w:fldCharType="separate"/>
            </w:r>
            <w:r>
              <w:rPr>
                <w:rStyle w:val="13"/>
                <w:rFonts w:hint="eastAsia" w:eastAsia="宋体"/>
                <w:i/>
                <w:lang w:val="en-US" w:eastAsia="zh-CN"/>
              </w:rPr>
              <w:t>liy24@pcl.ac.cn</w:t>
            </w:r>
            <w:r>
              <w:rPr>
                <w:rStyle w:val="13"/>
                <w:rFonts w:hint="eastAsia" w:eastAsia="宋体"/>
                <w:i/>
                <w:lang w:val="en-US" w:eastAsia="zh-CN"/>
              </w:rPr>
              <w:fldChar w:fldCharType="end"/>
            </w:r>
          </w:p>
        </w:tc>
      </w:tr>
    </w:tbl>
    <w:p w14:paraId="2F9BA3F5">
      <w:pPr>
        <w:pStyle w:val="23"/>
      </w:pPr>
    </w:p>
    <w:p w14:paraId="00EDB989"/>
    <w:tbl>
      <w:tblPr>
        <w:tblStyle w:val="9"/>
        <w:tblW w:w="0" w:type="auto"/>
        <w:jc w:val="center"/>
        <w:tblLayout w:type="fixed"/>
        <w:tblCellMar>
          <w:top w:w="0" w:type="dxa"/>
          <w:left w:w="108" w:type="dxa"/>
          <w:bottom w:w="0" w:type="dxa"/>
          <w:right w:w="108" w:type="dxa"/>
        </w:tblCellMar>
      </w:tblPr>
      <w:tblGrid>
        <w:gridCol w:w="1445"/>
        <w:gridCol w:w="4344"/>
        <w:gridCol w:w="1417"/>
        <w:gridCol w:w="2101"/>
      </w:tblGrid>
      <w:tr w14:paraId="28AFEC5B">
        <w:tblPrEx>
          <w:tblCellMar>
            <w:top w:w="0" w:type="dxa"/>
            <w:left w:w="108" w:type="dxa"/>
            <w:bottom w:w="0" w:type="dxa"/>
            <w:right w:w="108" w:type="dxa"/>
          </w:tblCellMar>
        </w:tblPrEx>
        <w:trPr>
          <w:cantSplit/>
          <w:jc w:val="center"/>
        </w:trPr>
        <w:tc>
          <w:tcPr>
            <w:tcW w:w="9307" w:type="dxa"/>
            <w:gridSpan w:val="4"/>
            <w:tcBorders>
              <w:top w:val="single" w:color="auto" w:sz="4" w:space="0"/>
              <w:left w:val="single" w:color="auto" w:sz="4" w:space="0"/>
              <w:bottom w:val="single" w:color="auto" w:sz="4" w:space="0"/>
              <w:right w:val="single" w:color="auto" w:sz="4" w:space="0"/>
            </w:tcBorders>
            <w:shd w:val="clear" w:color="auto" w:fill="E0E0E0"/>
          </w:tcPr>
          <w:p w14:paraId="3AF373D8">
            <w:pPr>
              <w:pStyle w:val="17"/>
            </w:pPr>
            <w:r>
              <w:t>Impacted existing TS/TR {One line per specification. Create/delete lines as needed}</w:t>
            </w:r>
          </w:p>
        </w:tc>
      </w:tr>
      <w:tr w14:paraId="499715BB">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shd w:val="clear" w:color="auto" w:fill="E0E0E0"/>
          </w:tcPr>
          <w:p w14:paraId="000B178F">
            <w:pPr>
              <w:pStyle w:val="17"/>
            </w:pPr>
            <w:r>
              <w:t>TS/TR No.</w:t>
            </w:r>
          </w:p>
        </w:tc>
        <w:tc>
          <w:tcPr>
            <w:tcW w:w="4344" w:type="dxa"/>
            <w:tcBorders>
              <w:top w:val="single" w:color="auto" w:sz="4" w:space="0"/>
              <w:left w:val="single" w:color="auto" w:sz="4" w:space="0"/>
              <w:bottom w:val="single" w:color="auto" w:sz="4" w:space="0"/>
              <w:right w:val="single" w:color="auto" w:sz="4" w:space="0"/>
            </w:tcBorders>
            <w:shd w:val="clear" w:color="auto" w:fill="E0E0E0"/>
          </w:tcPr>
          <w:p w14:paraId="44937AC7">
            <w:pPr>
              <w:pStyle w:val="17"/>
            </w:pPr>
            <w:r>
              <w:t xml:space="preserve">Description of change </w:t>
            </w:r>
          </w:p>
        </w:tc>
        <w:tc>
          <w:tcPr>
            <w:tcW w:w="1417" w:type="dxa"/>
            <w:tcBorders>
              <w:top w:val="single" w:color="auto" w:sz="4" w:space="0"/>
              <w:left w:val="single" w:color="auto" w:sz="4" w:space="0"/>
              <w:bottom w:val="single" w:color="auto" w:sz="4" w:space="0"/>
              <w:right w:val="single" w:color="auto" w:sz="4" w:space="0"/>
            </w:tcBorders>
            <w:shd w:val="clear" w:color="auto" w:fill="E0E0E0"/>
          </w:tcPr>
          <w:p w14:paraId="68D9F61D">
            <w:pPr>
              <w:pStyle w:val="17"/>
            </w:pPr>
            <w:r>
              <w:t>Target completion plenary#</w:t>
            </w:r>
          </w:p>
        </w:tc>
        <w:tc>
          <w:tcPr>
            <w:tcW w:w="2101" w:type="dxa"/>
            <w:tcBorders>
              <w:top w:val="single" w:color="auto" w:sz="4" w:space="0"/>
              <w:left w:val="single" w:color="auto" w:sz="4" w:space="0"/>
              <w:bottom w:val="single" w:color="auto" w:sz="4" w:space="0"/>
              <w:right w:val="single" w:color="auto" w:sz="4" w:space="0"/>
            </w:tcBorders>
            <w:shd w:val="clear" w:color="auto" w:fill="E0E0E0"/>
          </w:tcPr>
          <w:p w14:paraId="0CC3AB80">
            <w:pPr>
              <w:pStyle w:val="17"/>
            </w:pPr>
            <w:r>
              <w:t>Remarks</w:t>
            </w:r>
          </w:p>
        </w:tc>
      </w:tr>
      <w:tr w14:paraId="5D71D988">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14:paraId="442984AB">
            <w:pPr>
              <w:pStyle w:val="19"/>
            </w:pPr>
          </w:p>
        </w:tc>
        <w:tc>
          <w:tcPr>
            <w:tcW w:w="4344" w:type="dxa"/>
            <w:tcBorders>
              <w:top w:val="single" w:color="auto" w:sz="4" w:space="0"/>
              <w:left w:val="single" w:color="auto" w:sz="4" w:space="0"/>
              <w:bottom w:val="single" w:color="auto" w:sz="4" w:space="0"/>
              <w:right w:val="single" w:color="auto" w:sz="4" w:space="0"/>
            </w:tcBorders>
          </w:tcPr>
          <w:p w14:paraId="07D376E1">
            <w:pPr>
              <w:pStyle w:val="19"/>
            </w:pPr>
          </w:p>
        </w:tc>
        <w:tc>
          <w:tcPr>
            <w:tcW w:w="1417" w:type="dxa"/>
            <w:tcBorders>
              <w:top w:val="single" w:color="auto" w:sz="4" w:space="0"/>
              <w:left w:val="single" w:color="auto" w:sz="4" w:space="0"/>
              <w:bottom w:val="single" w:color="auto" w:sz="4" w:space="0"/>
              <w:right w:val="single" w:color="auto" w:sz="4" w:space="0"/>
            </w:tcBorders>
          </w:tcPr>
          <w:p w14:paraId="568458A6">
            <w:pPr>
              <w:pStyle w:val="19"/>
            </w:pPr>
          </w:p>
        </w:tc>
        <w:tc>
          <w:tcPr>
            <w:tcW w:w="2101" w:type="dxa"/>
            <w:tcBorders>
              <w:top w:val="single" w:color="auto" w:sz="4" w:space="0"/>
              <w:left w:val="single" w:color="auto" w:sz="4" w:space="0"/>
              <w:bottom w:val="single" w:color="auto" w:sz="4" w:space="0"/>
              <w:right w:val="single" w:color="auto" w:sz="4" w:space="0"/>
            </w:tcBorders>
          </w:tcPr>
          <w:p w14:paraId="2E49BA03">
            <w:pPr>
              <w:pStyle w:val="19"/>
            </w:pPr>
          </w:p>
        </w:tc>
      </w:tr>
    </w:tbl>
    <w:p w14:paraId="73B32B71"/>
    <w:p w14:paraId="3B96839D">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6</w:t>
      </w:r>
      <w:r>
        <w:rPr>
          <w:b w:val="0"/>
          <w:sz w:val="36"/>
          <w:lang w:eastAsia="ja-JP"/>
        </w:rPr>
        <w:tab/>
      </w:r>
      <w:r>
        <w:rPr>
          <w:b w:val="0"/>
          <w:sz w:val="36"/>
          <w:lang w:eastAsia="ja-JP"/>
        </w:rPr>
        <w:t>Work item Rapporteur(s)</w:t>
      </w:r>
    </w:p>
    <w:p w14:paraId="1843F7BA">
      <w:pPr>
        <w:rPr>
          <w:rFonts w:hint="default" w:eastAsia="宋体"/>
          <w:i/>
          <w:lang w:val="en-US" w:eastAsia="zh-CN"/>
        </w:rPr>
      </w:pPr>
      <w:r>
        <w:rPr>
          <w:rFonts w:hint="eastAsia" w:eastAsia="宋体"/>
          <w:i/>
          <w:lang w:val="en-US" w:eastAsia="zh-CN"/>
        </w:rPr>
        <w:t xml:space="preserve">Yang Li, </w:t>
      </w:r>
      <w:r>
        <w:fldChar w:fldCharType="begin"/>
      </w:r>
      <w:r>
        <w:instrText xml:space="preserve"> HYPERLINK "mailto:liy24@pcl.ac.cn" </w:instrText>
      </w:r>
      <w:r>
        <w:fldChar w:fldCharType="separate"/>
      </w:r>
      <w:r>
        <w:rPr>
          <w:rStyle w:val="13"/>
          <w:rFonts w:hint="eastAsia" w:eastAsia="宋体"/>
          <w:i/>
          <w:lang w:val="en-US" w:eastAsia="zh-CN"/>
        </w:rPr>
        <w:t>liy24@pcl.ac.cn</w:t>
      </w:r>
      <w:r>
        <w:rPr>
          <w:rStyle w:val="13"/>
          <w:rFonts w:hint="eastAsia" w:eastAsia="宋体"/>
          <w:i/>
          <w:lang w:val="en-US" w:eastAsia="zh-CN"/>
        </w:rPr>
        <w:fldChar w:fldCharType="end"/>
      </w:r>
    </w:p>
    <w:p w14:paraId="02835E4F">
      <w:pPr>
        <w:rPr>
          <w:rFonts w:eastAsia="宋体"/>
          <w:i/>
          <w:lang w:val="en-US" w:eastAsia="zh-CN"/>
        </w:rPr>
      </w:pPr>
    </w:p>
    <w:p w14:paraId="04C5B7F9">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7</w:t>
      </w:r>
      <w:r>
        <w:rPr>
          <w:b w:val="0"/>
          <w:sz w:val="36"/>
          <w:lang w:eastAsia="ja-JP"/>
        </w:rPr>
        <w:tab/>
      </w:r>
      <w:r>
        <w:rPr>
          <w:b w:val="0"/>
          <w:sz w:val="36"/>
          <w:lang w:eastAsia="ja-JP"/>
        </w:rPr>
        <w:t>Work item leadership</w:t>
      </w:r>
    </w:p>
    <w:p w14:paraId="302F7293">
      <w:pPr>
        <w:rPr>
          <w:i/>
          <w:iCs/>
        </w:rPr>
      </w:pPr>
      <w:r>
        <w:rPr>
          <w:i/>
          <w:iCs/>
        </w:rPr>
        <w:t>SA4</w:t>
      </w:r>
    </w:p>
    <w:p w14:paraId="274B34D5">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8</w:t>
      </w:r>
      <w:r>
        <w:rPr>
          <w:b w:val="0"/>
          <w:sz w:val="36"/>
          <w:lang w:eastAsia="ja-JP"/>
        </w:rPr>
        <w:tab/>
      </w:r>
      <w:r>
        <w:rPr>
          <w:b w:val="0"/>
          <w:sz w:val="36"/>
          <w:lang w:eastAsia="ja-JP"/>
        </w:rPr>
        <w:t>Aspects that involve other WGs</w:t>
      </w:r>
    </w:p>
    <w:p w14:paraId="0B3685E5">
      <w:pPr>
        <w:rPr>
          <w:lang w:eastAsia="ja-JP"/>
        </w:rPr>
      </w:pPr>
      <w:r>
        <w:rPr>
          <w:i/>
        </w:rPr>
        <w:t>SA2 on possible architectural aspects</w:t>
      </w:r>
    </w:p>
    <w:p w14:paraId="45BB47FE">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9</w:t>
      </w:r>
      <w:r>
        <w:rPr>
          <w:b w:val="0"/>
          <w:sz w:val="36"/>
          <w:lang w:eastAsia="ja-JP"/>
        </w:rPr>
        <w:tab/>
      </w:r>
      <w:r>
        <w:rPr>
          <w:b w:val="0"/>
          <w:sz w:val="36"/>
          <w:lang w:eastAsia="ja-JP"/>
        </w:rPr>
        <w:t>Supporting Individual Members</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029"/>
      </w:tblGrid>
      <w:tr w14:paraId="088C92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E0E0E0"/>
          </w:tcPr>
          <w:p w14:paraId="3CC5BA65">
            <w:pPr>
              <w:pStyle w:val="17"/>
            </w:pPr>
            <w:r>
              <w:t>Supporting IM name</w:t>
            </w:r>
          </w:p>
        </w:tc>
      </w:tr>
      <w:tr w14:paraId="0FD04E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tcPr>
          <w:p w14:paraId="13CBE301">
            <w:pPr>
              <w:pStyle w:val="19"/>
              <w:rPr>
                <w:rFonts w:eastAsia="宋体"/>
                <w:lang w:val="en-US" w:eastAsia="zh-CN"/>
              </w:rPr>
            </w:pPr>
            <w:r>
              <w:rPr>
                <w:rFonts w:hint="eastAsia" w:eastAsia="宋体"/>
                <w:lang w:val="en-US" w:eastAsia="zh-CN"/>
              </w:rPr>
              <w:t xml:space="preserve">Pengcheng Laboratory </w:t>
            </w:r>
          </w:p>
        </w:tc>
      </w:tr>
      <w:tr w14:paraId="34F4EE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tcPr>
          <w:p w14:paraId="4560FDC9">
            <w:pPr>
              <w:pStyle w:val="19"/>
              <w:rPr>
                <w:rFonts w:eastAsiaTheme="minorEastAsia"/>
                <w:lang w:val="en-US" w:eastAsia="zh-CN"/>
              </w:rPr>
            </w:pPr>
            <w:r>
              <w:rPr>
                <w:rFonts w:hint="eastAsia" w:eastAsiaTheme="minorEastAsia"/>
                <w:lang w:val="en-US" w:eastAsia="zh-CN"/>
              </w:rPr>
              <w:t xml:space="preserve">Huawei </w:t>
            </w:r>
          </w:p>
        </w:tc>
      </w:tr>
      <w:tr w14:paraId="3F0A48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tcPr>
          <w:p w14:paraId="01553888">
            <w:pPr>
              <w:pStyle w:val="19"/>
              <w:rPr>
                <w:rFonts w:hint="default" w:eastAsiaTheme="minorEastAsia"/>
                <w:lang w:val="en-US" w:eastAsia="zh-CN"/>
              </w:rPr>
            </w:pPr>
            <w:r>
              <w:rPr>
                <w:rFonts w:hint="eastAsia" w:eastAsiaTheme="minorEastAsia"/>
                <w:lang w:val="en-US" w:eastAsia="zh-CN"/>
              </w:rPr>
              <w:t>China Mobile Com. Corporation</w:t>
            </w:r>
          </w:p>
        </w:tc>
      </w:tr>
      <w:tr w14:paraId="0740C0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tcPr>
          <w:p w14:paraId="38B4B2EB">
            <w:pPr>
              <w:pStyle w:val="19"/>
              <w:rPr>
                <w:rFonts w:eastAsiaTheme="minorEastAsia"/>
                <w:lang w:val="en-US" w:eastAsia="zh-CN"/>
              </w:rPr>
            </w:pPr>
            <w:r>
              <w:rPr>
                <w:rFonts w:hint="eastAsia" w:eastAsiaTheme="minorEastAsia"/>
                <w:lang w:val="en-US" w:eastAsia="zh-CN"/>
              </w:rPr>
              <w:t>OPPO</w:t>
            </w:r>
          </w:p>
        </w:tc>
      </w:tr>
      <w:tr w14:paraId="11868C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tcPr>
          <w:p w14:paraId="4AAA302E">
            <w:pPr>
              <w:pStyle w:val="19"/>
              <w:rPr>
                <w:rFonts w:hint="default" w:eastAsiaTheme="minorEastAsia"/>
                <w:lang w:val="en-US" w:eastAsia="zh-CN"/>
              </w:rPr>
            </w:pPr>
            <w:r>
              <w:rPr>
                <w:rFonts w:hint="eastAsia" w:eastAsiaTheme="minorEastAsia"/>
                <w:lang w:val="en-US" w:eastAsia="zh-CN"/>
              </w:rPr>
              <w:t>vivo</w:t>
            </w:r>
          </w:p>
        </w:tc>
      </w:tr>
      <w:tr w14:paraId="5BC96E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tcPr>
          <w:p w14:paraId="5A326E97">
            <w:pPr>
              <w:pStyle w:val="19"/>
              <w:rPr>
                <w:rFonts w:eastAsiaTheme="minorEastAsia"/>
                <w:lang w:val="en-US" w:eastAsia="zh-CN"/>
              </w:rPr>
            </w:pPr>
            <w:r>
              <w:rPr>
                <w:rFonts w:hint="eastAsia" w:eastAsiaTheme="minorEastAsia"/>
                <w:lang w:val="en-US" w:eastAsia="zh-CN"/>
              </w:rPr>
              <w:t>ZTE</w:t>
            </w:r>
          </w:p>
        </w:tc>
      </w:tr>
      <w:tr w14:paraId="5EB364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tcPr>
          <w:p w14:paraId="2A9CDC12">
            <w:pPr>
              <w:pStyle w:val="19"/>
              <w:rPr>
                <w:rFonts w:hint="default" w:eastAsiaTheme="minorEastAsia"/>
                <w:lang w:val="en-US" w:eastAsia="zh-CN"/>
              </w:rPr>
            </w:pPr>
            <w:r>
              <w:rPr>
                <w:rFonts w:hint="eastAsia" w:eastAsiaTheme="minorEastAsia"/>
                <w:lang w:val="en-US" w:eastAsia="zh-CN"/>
              </w:rPr>
              <w:t>China Telecom</w:t>
            </w:r>
          </w:p>
        </w:tc>
      </w:tr>
      <w:tr w14:paraId="05FF69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tcPr>
          <w:p w14:paraId="2318B5B3">
            <w:pPr>
              <w:pStyle w:val="19"/>
              <w:rPr>
                <w:rFonts w:eastAsiaTheme="minorEastAsia"/>
                <w:lang w:eastAsia="zh-CN"/>
              </w:rPr>
            </w:pPr>
            <w:r>
              <w:rPr>
                <w:rFonts w:hint="eastAsia" w:eastAsiaTheme="minorEastAsia"/>
                <w:lang w:eastAsia="zh-CN"/>
              </w:rPr>
              <w:t>Hisilicon</w:t>
            </w:r>
          </w:p>
        </w:tc>
      </w:tr>
      <w:tr w14:paraId="03E64E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tcPr>
          <w:p w14:paraId="327D16F4">
            <w:pPr>
              <w:pStyle w:val="19"/>
              <w:rPr>
                <w:rFonts w:hint="default" w:eastAsiaTheme="minorEastAsia"/>
                <w:lang w:val="en-US" w:eastAsia="zh-CN"/>
              </w:rPr>
            </w:pPr>
          </w:p>
        </w:tc>
      </w:tr>
      <w:tr w14:paraId="3EBFB0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tcPr>
          <w:p w14:paraId="356354F9">
            <w:pPr>
              <w:pStyle w:val="19"/>
              <w:rPr>
                <w:rFonts w:eastAsiaTheme="minorEastAsia"/>
                <w:lang w:eastAsia="zh-CN"/>
              </w:rPr>
            </w:pPr>
          </w:p>
        </w:tc>
      </w:tr>
      <w:tr w14:paraId="6996D9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tcPr>
          <w:p w14:paraId="5AD6480C">
            <w:pPr>
              <w:pStyle w:val="19"/>
            </w:pPr>
          </w:p>
        </w:tc>
      </w:tr>
    </w:tbl>
    <w:p w14:paraId="5B2ED827">
      <w:pPr>
        <w:rPr>
          <w:rFonts w:eastAsia="宋体"/>
          <w:lang w:val="en-US" w:eastAsia="zh-CN"/>
        </w:rPr>
      </w:pPr>
    </w:p>
    <w:sectPr>
      <w:pgSz w:w="11906" w:h="16838"/>
      <w:pgMar w:top="567" w:right="1134" w:bottom="709" w:left="1134"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endnote>
  <w:endnote w:type="continuationSeparator" w:id="1">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Light">
    <w:panose1 w:val="020F0302020204030204"/>
    <w:charset w:val="00"/>
    <w:family w:val="swiss"/>
    <w:pitch w:val="default"/>
    <w:sig w:usb0="E4002EFF" w:usb1="C2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Batang">
    <w:altName w:val="Malgun Gothic"/>
    <w:panose1 w:val="02030600000101010101"/>
    <w:charset w:val="81"/>
    <w:family w:val="auto"/>
    <w:pitch w:val="default"/>
    <w:sig w:usb0="00000000" w:usb1="00000000" w:usb2="00000010" w:usb3="00000000" w:csb0="00080000" w:csb1="00000000"/>
  </w:font>
  <w:font w:name="Malgun Gothic">
    <w:panose1 w:val="020B0503020000020004"/>
    <w:charset w:val="81"/>
    <w:family w:val="swiss"/>
    <w:pitch w:val="default"/>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footnote>
  <w:footnote w:type="continuationSeparator" w:id="1">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E7F16A5"/>
    <w:multiLevelType w:val="singleLevel"/>
    <w:tmpl w:val="8E7F16A5"/>
    <w:lvl w:ilvl="0" w:tentative="0">
      <w:start w:val="1"/>
      <w:numFmt w:val="decimal"/>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1"/>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4E154C65"/>
    <w:rsid w:val="0020411B"/>
    <w:rsid w:val="003B370B"/>
    <w:rsid w:val="0044373A"/>
    <w:rsid w:val="00670BFD"/>
    <w:rsid w:val="008C7C2A"/>
    <w:rsid w:val="00B16C9E"/>
    <w:rsid w:val="00BF7FAD"/>
    <w:rsid w:val="00FC639B"/>
    <w:rsid w:val="03155121"/>
    <w:rsid w:val="043D7637"/>
    <w:rsid w:val="06301D1E"/>
    <w:rsid w:val="07736C45"/>
    <w:rsid w:val="08D353D2"/>
    <w:rsid w:val="0AE84FF2"/>
    <w:rsid w:val="0BF21E96"/>
    <w:rsid w:val="0C9C352C"/>
    <w:rsid w:val="0DB95F0E"/>
    <w:rsid w:val="0E135F27"/>
    <w:rsid w:val="0EDF5E5A"/>
    <w:rsid w:val="10217C21"/>
    <w:rsid w:val="10EB0491"/>
    <w:rsid w:val="11A26DA7"/>
    <w:rsid w:val="12D13F4A"/>
    <w:rsid w:val="13FE12E9"/>
    <w:rsid w:val="15C12CAC"/>
    <w:rsid w:val="186244D7"/>
    <w:rsid w:val="1B0E1C59"/>
    <w:rsid w:val="1ED46889"/>
    <w:rsid w:val="299A71D1"/>
    <w:rsid w:val="2A743B1E"/>
    <w:rsid w:val="2B5B15BB"/>
    <w:rsid w:val="2C8856CB"/>
    <w:rsid w:val="2E113085"/>
    <w:rsid w:val="2EBF49BF"/>
    <w:rsid w:val="3025663B"/>
    <w:rsid w:val="36E52E17"/>
    <w:rsid w:val="37DD5D3D"/>
    <w:rsid w:val="3AB944BE"/>
    <w:rsid w:val="3AE96733"/>
    <w:rsid w:val="3BE20F5A"/>
    <w:rsid w:val="3DAB2A6B"/>
    <w:rsid w:val="4051580E"/>
    <w:rsid w:val="423F7DE0"/>
    <w:rsid w:val="43D63A7D"/>
    <w:rsid w:val="46934741"/>
    <w:rsid w:val="4A377E7B"/>
    <w:rsid w:val="4B7322AA"/>
    <w:rsid w:val="4BD72CD7"/>
    <w:rsid w:val="4E154C65"/>
    <w:rsid w:val="4ED43FE2"/>
    <w:rsid w:val="4ED644AD"/>
    <w:rsid w:val="50B04D26"/>
    <w:rsid w:val="51EC02FC"/>
    <w:rsid w:val="53FB6C66"/>
    <w:rsid w:val="54764021"/>
    <w:rsid w:val="59DF75EA"/>
    <w:rsid w:val="5A816CF8"/>
    <w:rsid w:val="5F4B385A"/>
    <w:rsid w:val="60B050B4"/>
    <w:rsid w:val="60D71B76"/>
    <w:rsid w:val="63D32B97"/>
    <w:rsid w:val="64B20B6C"/>
    <w:rsid w:val="65335DB5"/>
    <w:rsid w:val="668C3D21"/>
    <w:rsid w:val="6818640B"/>
    <w:rsid w:val="68924364"/>
    <w:rsid w:val="6BAD3293"/>
    <w:rsid w:val="6BDA1B01"/>
    <w:rsid w:val="71D46B4E"/>
    <w:rsid w:val="72C9455A"/>
    <w:rsid w:val="74F6722B"/>
    <w:rsid w:val="782347BD"/>
    <w:rsid w:val="7C7E3CBF"/>
    <w:rsid w:val="7DB50159"/>
    <w:rsid w:val="7EF23F1B"/>
    <w:rsid w:val="7FA3620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semiHidden="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lang w:val="en-GB" w:eastAsia="en-US" w:bidi="ar-SA"/>
    </w:rPr>
  </w:style>
  <w:style w:type="paragraph" w:styleId="2">
    <w:name w:val="heading 1"/>
    <w:basedOn w:val="1"/>
    <w:next w:val="1"/>
    <w:qFormat/>
    <w:uiPriority w:val="0"/>
    <w:pPr>
      <w:keepNext/>
      <w:spacing w:after="240"/>
      <w:ind w:left="1985" w:right="284" w:hanging="1985"/>
      <w:outlineLvl w:val="0"/>
    </w:pPr>
    <w:rPr>
      <w:rFonts w:ascii="Arial" w:hAnsi="Arial"/>
      <w:b/>
      <w:sz w:val="24"/>
    </w:rPr>
  </w:style>
  <w:style w:type="paragraph" w:styleId="3">
    <w:name w:val="heading 2"/>
    <w:basedOn w:val="2"/>
    <w:next w:val="1"/>
    <w:qFormat/>
    <w:uiPriority w:val="0"/>
    <w:pPr>
      <w:outlineLvl w:val="1"/>
    </w:pPr>
  </w:style>
  <w:style w:type="paragraph" w:styleId="4">
    <w:name w:val="heading 3"/>
    <w:basedOn w:val="1"/>
    <w:next w:val="1"/>
    <w:qFormat/>
    <w:uiPriority w:val="0"/>
    <w:pPr>
      <w:keepNext/>
      <w:outlineLvl w:val="2"/>
    </w:pPr>
    <w:rPr>
      <w:sz w:val="24"/>
    </w:rPr>
  </w:style>
  <w:style w:type="paragraph" w:styleId="5">
    <w:name w:val="heading 8"/>
    <w:basedOn w:val="1"/>
    <w:next w:val="1"/>
    <w:unhideWhenUsed/>
    <w:qFormat/>
    <w:uiPriority w:val="0"/>
    <w:pPr>
      <w:keepNext/>
      <w:keepLines/>
      <w:spacing w:before="40"/>
      <w:outlineLvl w:val="7"/>
    </w:pPr>
    <w:rPr>
      <w:rFonts w:asciiTheme="majorHAnsi" w:hAnsiTheme="majorHAnsi" w:eastAsiaTheme="majorEastAsia" w:cstheme="majorBidi"/>
      <w:color w:val="262626" w:themeColor="text1" w:themeTint="D9"/>
      <w:sz w:val="21"/>
      <w:szCs w:val="21"/>
      <w14:textFill>
        <w14:solidFill>
          <w14:schemeClr w14:val="tx1">
            <w14:lumMod w14:val="85000"/>
            <w14:lumOff w14:val="15000"/>
          </w14:schemeClr>
        </w14:solidFill>
      </w14:textFill>
    </w:rPr>
  </w:style>
  <w:style w:type="character" w:default="1" w:styleId="10">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6">
    <w:name w:val="annotation text"/>
    <w:basedOn w:val="1"/>
    <w:link w:val="24"/>
    <w:qFormat/>
    <w:uiPriority w:val="0"/>
  </w:style>
  <w:style w:type="paragraph" w:styleId="7">
    <w:name w:val="Balloon Text"/>
    <w:basedOn w:val="1"/>
    <w:link w:val="26"/>
    <w:qFormat/>
    <w:uiPriority w:val="0"/>
    <w:rPr>
      <w:rFonts w:ascii="Segoe UI" w:hAnsi="Segoe UI" w:cs="Segoe UI"/>
      <w:sz w:val="18"/>
      <w:szCs w:val="18"/>
    </w:rPr>
  </w:style>
  <w:style w:type="paragraph" w:styleId="8">
    <w:name w:val="annotation subject"/>
    <w:basedOn w:val="6"/>
    <w:next w:val="6"/>
    <w:link w:val="25"/>
    <w:qFormat/>
    <w:uiPriority w:val="0"/>
    <w:rPr>
      <w:b/>
      <w:bCs/>
    </w:rPr>
  </w:style>
  <w:style w:type="character" w:styleId="11">
    <w:name w:val="Strong"/>
    <w:basedOn w:val="10"/>
    <w:qFormat/>
    <w:uiPriority w:val="0"/>
    <w:rPr>
      <w:b/>
    </w:rPr>
  </w:style>
  <w:style w:type="character" w:styleId="12">
    <w:name w:val="Emphasis"/>
    <w:basedOn w:val="10"/>
    <w:qFormat/>
    <w:uiPriority w:val="0"/>
    <w:rPr>
      <w:i/>
    </w:rPr>
  </w:style>
  <w:style w:type="character" w:styleId="13">
    <w:name w:val="Hyperlink"/>
    <w:basedOn w:val="10"/>
    <w:qFormat/>
    <w:uiPriority w:val="0"/>
    <w:rPr>
      <w:color w:val="0000FF"/>
      <w:u w:val="single"/>
    </w:rPr>
  </w:style>
  <w:style w:type="character" w:styleId="14">
    <w:name w:val="annotation reference"/>
    <w:basedOn w:val="10"/>
    <w:qFormat/>
    <w:uiPriority w:val="0"/>
    <w:rPr>
      <w:sz w:val="16"/>
      <w:szCs w:val="16"/>
    </w:rPr>
  </w:style>
  <w:style w:type="paragraph" w:customStyle="1" w:styleId="15">
    <w:name w:val="CR Cover Page"/>
    <w:qFormat/>
    <w:uiPriority w:val="0"/>
    <w:pPr>
      <w:spacing w:after="120"/>
    </w:pPr>
    <w:rPr>
      <w:rFonts w:ascii="Arial" w:hAnsi="Arial" w:eastAsia="Times New Roman" w:cs="Times New Roman"/>
      <w:lang w:val="en-GB" w:eastAsia="en-US" w:bidi="ar-SA"/>
    </w:rPr>
  </w:style>
  <w:style w:type="paragraph" w:customStyle="1" w:styleId="16">
    <w:name w:val="Guidance"/>
    <w:basedOn w:val="1"/>
    <w:qFormat/>
    <w:uiPriority w:val="0"/>
    <w:pPr>
      <w:overflowPunct w:val="0"/>
      <w:autoSpaceDE w:val="0"/>
      <w:autoSpaceDN w:val="0"/>
      <w:adjustRightInd w:val="0"/>
      <w:spacing w:after="180"/>
      <w:textAlignment w:val="baseline"/>
    </w:pPr>
    <w:rPr>
      <w:i/>
      <w:color w:val="000000"/>
      <w:lang w:eastAsia="ja-JP"/>
    </w:rPr>
  </w:style>
  <w:style w:type="paragraph" w:customStyle="1" w:styleId="17">
    <w:name w:val="TAH"/>
    <w:basedOn w:val="18"/>
    <w:qFormat/>
    <w:uiPriority w:val="0"/>
    <w:rPr>
      <w:b/>
    </w:rPr>
  </w:style>
  <w:style w:type="paragraph" w:customStyle="1" w:styleId="18">
    <w:name w:val="TAC"/>
    <w:basedOn w:val="19"/>
    <w:qFormat/>
    <w:uiPriority w:val="0"/>
    <w:pPr>
      <w:jc w:val="center"/>
    </w:pPr>
  </w:style>
  <w:style w:type="paragraph" w:customStyle="1" w:styleId="19">
    <w:name w:val="TAL"/>
    <w:basedOn w:val="1"/>
    <w:qFormat/>
    <w:uiPriority w:val="0"/>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20">
    <w:name w:val="tah"/>
    <w:basedOn w:val="1"/>
    <w:qFormat/>
    <w:uiPriority w:val="0"/>
    <w:pPr>
      <w:spacing w:before="100" w:beforeAutospacing="1" w:after="100" w:afterAutospacing="1"/>
    </w:pPr>
    <w:rPr>
      <w:rFonts w:eastAsia="Calibri"/>
      <w:sz w:val="24"/>
      <w:szCs w:val="24"/>
      <w:lang w:val="en-US"/>
    </w:rPr>
  </w:style>
  <w:style w:type="paragraph" w:customStyle="1" w:styleId="21">
    <w:name w:val="B1"/>
    <w:basedOn w:val="1"/>
    <w:qFormat/>
    <w:uiPriority w:val="0"/>
    <w:pPr>
      <w:spacing w:after="180"/>
      <w:ind w:left="568" w:hanging="284"/>
    </w:pPr>
  </w:style>
  <w:style w:type="paragraph" w:customStyle="1" w:styleId="22">
    <w:name w:val="NO"/>
    <w:basedOn w:val="1"/>
    <w:qFormat/>
    <w:uiPriority w:val="0"/>
    <w:pPr>
      <w:keepLines/>
      <w:ind w:left="1135" w:hanging="851"/>
    </w:pPr>
  </w:style>
  <w:style w:type="paragraph" w:customStyle="1" w:styleId="23">
    <w:name w:val="FP"/>
    <w:basedOn w:val="1"/>
    <w:qFormat/>
    <w:uiPriority w:val="0"/>
    <w:pPr>
      <w:overflowPunct w:val="0"/>
      <w:autoSpaceDE w:val="0"/>
      <w:autoSpaceDN w:val="0"/>
      <w:adjustRightInd w:val="0"/>
      <w:textAlignment w:val="baseline"/>
    </w:pPr>
    <w:rPr>
      <w:color w:val="000000"/>
      <w:lang w:eastAsia="ja-JP"/>
    </w:rPr>
  </w:style>
  <w:style w:type="character" w:customStyle="1" w:styleId="24">
    <w:name w:val="Comment Text Char"/>
    <w:basedOn w:val="10"/>
    <w:link w:val="6"/>
    <w:qFormat/>
    <w:uiPriority w:val="0"/>
    <w:rPr>
      <w:rFonts w:eastAsia="Times New Roman"/>
      <w:lang w:val="en-GB" w:eastAsia="en-US"/>
    </w:rPr>
  </w:style>
  <w:style w:type="character" w:customStyle="1" w:styleId="25">
    <w:name w:val="Comment Subject Char"/>
    <w:basedOn w:val="24"/>
    <w:link w:val="8"/>
    <w:qFormat/>
    <w:uiPriority w:val="0"/>
    <w:rPr>
      <w:rFonts w:eastAsia="Times New Roman"/>
      <w:b/>
      <w:bCs/>
      <w:lang w:val="en-GB" w:eastAsia="en-US"/>
    </w:rPr>
  </w:style>
  <w:style w:type="character" w:customStyle="1" w:styleId="26">
    <w:name w:val="Balloon Text Char"/>
    <w:basedOn w:val="10"/>
    <w:link w:val="7"/>
    <w:qFormat/>
    <w:uiPriority w:val="0"/>
    <w:rPr>
      <w:rFonts w:ascii="Segoe UI" w:hAnsi="Segoe UI" w:eastAsia="Times New Roman" w:cs="Segoe UI"/>
      <w:sz w:val="18"/>
      <w:szCs w:val="18"/>
      <w:lang w:val="en-GB" w:eastAsia="en-U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Huawei Technologies Co.,Ltd.</Company>
  <Pages>5</Pages>
  <Words>1180</Words>
  <Characters>7363</Characters>
  <Lines>63</Lines>
  <Paragraphs>18</Paragraphs>
  <TotalTime>38</TotalTime>
  <ScaleCrop>false</ScaleCrop>
  <LinksUpToDate>false</LinksUpToDate>
  <CharactersWithSpaces>8465</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2025-11-04T13:04:00Z</dcterms:created>
  <dc:creator>LiYang</dc:creator>
  <cp:lastModifiedBy>LiYang</cp:lastModifiedBy>
  <dcterms:modified xsi:type="dcterms:W3CDTF">2025-11-11T16:00:35Z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ICV">
    <vt:lpwstr>5F24EA9E27314071876636F5AD74818F_13</vt:lpwstr>
  </property>
  <property fmtid="{D5CDD505-2E9C-101B-9397-08002B2CF9AE}" pid="4" name="KSOTemplateDocerSaveRecord">
    <vt:lpwstr>eyJoZGlkIjoiMDUyYzFjMjg2MjRiMDk3NjE3NjBhNDA0MGQ4NmNkNDgiLCJ1c2VySWQiOiIxNzI1MDAwMzk0In0=</vt:lpwstr>
  </property>
</Properties>
</file>